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011CAA" w14:textId="338E9C16" w:rsidR="003631D6" w:rsidRPr="00BD2206" w:rsidRDefault="00BD2206" w:rsidP="003631D6">
      <w:pPr>
        <w:pStyle w:val="Title"/>
      </w:pPr>
      <w:r>
        <w:t xml:space="preserve"> </w:t>
      </w:r>
      <w:r w:rsidR="003631D6" w:rsidRPr="00BD2206">
        <w:t xml:space="preserve">DOCKET NO. </w:t>
      </w:r>
      <w:r w:rsidR="00300702" w:rsidRPr="00BD2206">
        <w:t>_______</w:t>
      </w:r>
    </w:p>
    <w:tbl>
      <w:tblPr>
        <w:tblW w:w="0" w:type="auto"/>
        <w:tblLayout w:type="fixed"/>
        <w:tblLook w:val="0000" w:firstRow="0" w:lastRow="0" w:firstColumn="0" w:lastColumn="0" w:noHBand="0" w:noVBand="0"/>
      </w:tblPr>
      <w:tblGrid>
        <w:gridCol w:w="4428"/>
        <w:gridCol w:w="270"/>
        <w:gridCol w:w="4230"/>
      </w:tblGrid>
      <w:tr w:rsidR="003631D6" w:rsidRPr="00BD2206" w14:paraId="705E5719" w14:textId="77777777" w:rsidTr="003540D9">
        <w:tc>
          <w:tcPr>
            <w:tcW w:w="4428" w:type="dxa"/>
          </w:tcPr>
          <w:p w14:paraId="70B56A2A" w14:textId="77777777" w:rsidR="003631D6" w:rsidRPr="00BD2206" w:rsidRDefault="003631D6" w:rsidP="00300702">
            <w:pPr>
              <w:rPr>
                <w:b/>
              </w:rPr>
            </w:pPr>
            <w:r w:rsidRPr="00BD2206">
              <w:rPr>
                <w:b/>
              </w:rPr>
              <w:t xml:space="preserve">APPLICATION OF AEP TEXAS </w:t>
            </w:r>
            <w:r w:rsidR="00300702" w:rsidRPr="00BD2206">
              <w:rPr>
                <w:b/>
              </w:rPr>
              <w:t>INC.</w:t>
            </w:r>
            <w:r w:rsidR="00864A80" w:rsidRPr="00BD2206">
              <w:rPr>
                <w:b/>
              </w:rPr>
              <w:t xml:space="preserve"> </w:t>
            </w:r>
            <w:r w:rsidRPr="00BD2206">
              <w:rPr>
                <w:b/>
              </w:rPr>
              <w:t xml:space="preserve"> FOR A FINANCING ORDER                           </w:t>
            </w:r>
          </w:p>
        </w:tc>
        <w:tc>
          <w:tcPr>
            <w:tcW w:w="270" w:type="dxa"/>
          </w:tcPr>
          <w:p w14:paraId="7AB6C73D" w14:textId="77777777" w:rsidR="003631D6" w:rsidRPr="00BD2206" w:rsidRDefault="003631D6" w:rsidP="003540D9">
            <w:pPr>
              <w:rPr>
                <w:b/>
              </w:rPr>
            </w:pPr>
            <w:r w:rsidRPr="00BD2206">
              <w:rPr>
                <w:b/>
              </w:rPr>
              <w:t>§</w:t>
            </w:r>
          </w:p>
          <w:p w14:paraId="51066446" w14:textId="77777777" w:rsidR="003631D6" w:rsidRPr="00BD2206" w:rsidRDefault="003631D6" w:rsidP="003540D9">
            <w:pPr>
              <w:rPr>
                <w:b/>
              </w:rPr>
            </w:pPr>
            <w:r w:rsidRPr="00BD2206">
              <w:rPr>
                <w:b/>
              </w:rPr>
              <w:t>§</w:t>
            </w:r>
          </w:p>
          <w:p w14:paraId="7D41A7AB" w14:textId="77777777" w:rsidR="003631D6" w:rsidRPr="00BD2206" w:rsidRDefault="003631D6" w:rsidP="003540D9">
            <w:pPr>
              <w:rPr>
                <w:b/>
              </w:rPr>
            </w:pPr>
            <w:r w:rsidRPr="00BD2206">
              <w:rPr>
                <w:b/>
              </w:rPr>
              <w:t>§</w:t>
            </w:r>
          </w:p>
        </w:tc>
        <w:tc>
          <w:tcPr>
            <w:tcW w:w="4230" w:type="dxa"/>
          </w:tcPr>
          <w:p w14:paraId="5ACA4DF2" w14:textId="77777777" w:rsidR="003631D6" w:rsidRPr="00BD2206" w:rsidRDefault="003631D6" w:rsidP="003540D9">
            <w:pPr>
              <w:jc w:val="center"/>
              <w:rPr>
                <w:b/>
              </w:rPr>
            </w:pPr>
            <w:r w:rsidRPr="00BD2206">
              <w:rPr>
                <w:b/>
              </w:rPr>
              <w:t>PUBLIC UTILITY COMMISSION</w:t>
            </w:r>
          </w:p>
          <w:p w14:paraId="1E1D1C73" w14:textId="77777777" w:rsidR="003631D6" w:rsidRPr="00BD2206" w:rsidRDefault="003631D6" w:rsidP="003540D9">
            <w:pPr>
              <w:jc w:val="center"/>
              <w:rPr>
                <w:b/>
              </w:rPr>
            </w:pPr>
          </w:p>
          <w:p w14:paraId="5DD931F4" w14:textId="77777777" w:rsidR="003631D6" w:rsidRPr="00BD2206" w:rsidRDefault="003631D6" w:rsidP="003540D9">
            <w:pPr>
              <w:jc w:val="center"/>
              <w:rPr>
                <w:b/>
              </w:rPr>
            </w:pPr>
            <w:r w:rsidRPr="00BD2206">
              <w:rPr>
                <w:b/>
              </w:rPr>
              <w:t>OF TEXAS</w:t>
            </w:r>
          </w:p>
        </w:tc>
      </w:tr>
    </w:tbl>
    <w:p w14:paraId="6E4044C7" w14:textId="77777777" w:rsidR="003631D6" w:rsidRPr="00BD2206" w:rsidRDefault="003631D6" w:rsidP="003631D6">
      <w:pPr>
        <w:pStyle w:val="BodyText"/>
        <w:jc w:val="center"/>
        <w:rPr>
          <w:b/>
        </w:rPr>
      </w:pPr>
      <w:bookmarkStart w:id="0" w:name="_Toc88378088"/>
      <w:bookmarkStart w:id="1" w:name="_Toc88379081"/>
      <w:bookmarkStart w:id="2" w:name="_Toc88379303"/>
    </w:p>
    <w:p w14:paraId="329B794F" w14:textId="77777777" w:rsidR="003631D6" w:rsidRPr="00BD2206" w:rsidRDefault="003631D6" w:rsidP="003631D6">
      <w:pPr>
        <w:pStyle w:val="BodyText"/>
        <w:ind w:firstLine="0"/>
        <w:jc w:val="center"/>
        <w:rPr>
          <w:b/>
        </w:rPr>
      </w:pPr>
      <w:r w:rsidRPr="00BD2206">
        <w:rPr>
          <w:b/>
        </w:rPr>
        <w:t>FINANCING ORDER</w:t>
      </w:r>
    </w:p>
    <w:p w14:paraId="11899EA6" w14:textId="77777777" w:rsidR="003631D6" w:rsidRPr="00413974" w:rsidRDefault="003631D6" w:rsidP="003631D6">
      <w:pPr>
        <w:pStyle w:val="BodyText"/>
        <w:ind w:firstLine="0"/>
        <w:jc w:val="center"/>
        <w:rPr>
          <w:b/>
          <w:szCs w:val="24"/>
        </w:rPr>
      </w:pPr>
      <w:r w:rsidRPr="00413974">
        <w:rPr>
          <w:b/>
          <w:szCs w:val="24"/>
        </w:rPr>
        <w:t>TABLE OF CONTENTS</w:t>
      </w:r>
    </w:p>
    <w:bookmarkEnd w:id="0"/>
    <w:bookmarkEnd w:id="1"/>
    <w:bookmarkEnd w:id="2"/>
    <w:p w14:paraId="2A959595" w14:textId="77777777" w:rsidR="00413974" w:rsidRPr="000B672D" w:rsidRDefault="00413974">
      <w:pPr>
        <w:pStyle w:val="TOC1"/>
        <w:tabs>
          <w:tab w:val="right" w:leader="dot" w:pos="9350"/>
        </w:tabs>
        <w:rPr>
          <w:rFonts w:ascii="Times New Roman" w:eastAsiaTheme="minorEastAsia" w:hAnsi="Times New Roman"/>
          <w:b w:val="0"/>
          <w:bCs w:val="0"/>
          <w:caps w:val="0"/>
          <w:noProof/>
          <w:snapToGrid/>
        </w:rPr>
      </w:pPr>
      <w:r w:rsidRPr="000B672D">
        <w:rPr>
          <w:rFonts w:ascii="Times New Roman" w:hAnsi="Times New Roman"/>
          <w:caps w:val="0"/>
        </w:rPr>
        <w:fldChar w:fldCharType="begin"/>
      </w:r>
      <w:r w:rsidRPr="000B672D">
        <w:rPr>
          <w:rFonts w:ascii="Times New Roman" w:hAnsi="Times New Roman"/>
          <w:caps w:val="0"/>
        </w:rPr>
        <w:instrText xml:space="preserve"> TOC \o "1-3" \h \z \u </w:instrText>
      </w:r>
      <w:r w:rsidRPr="000B672D">
        <w:rPr>
          <w:rFonts w:ascii="Times New Roman" w:hAnsi="Times New Roman"/>
          <w:caps w:val="0"/>
        </w:rPr>
        <w:fldChar w:fldCharType="separate"/>
      </w:r>
      <w:hyperlink w:anchor="_Toc2778484" w:history="1">
        <w:r w:rsidRPr="000B672D">
          <w:rPr>
            <w:rStyle w:val="Hyperlink"/>
            <w:rFonts w:ascii="Times New Roman" w:hAnsi="Times New Roman"/>
            <w:noProof/>
          </w:rPr>
          <w:t>I. Discussion and Statutory Overview</w:t>
        </w:r>
        <w:r w:rsidRPr="000B672D">
          <w:rPr>
            <w:rFonts w:ascii="Times New Roman" w:hAnsi="Times New Roman"/>
            <w:noProof/>
            <w:webHidden/>
          </w:rPr>
          <w:tab/>
        </w:r>
        <w:r w:rsidRPr="000B672D">
          <w:rPr>
            <w:rFonts w:ascii="Times New Roman" w:hAnsi="Times New Roman"/>
            <w:noProof/>
            <w:webHidden/>
          </w:rPr>
          <w:fldChar w:fldCharType="begin"/>
        </w:r>
        <w:r w:rsidRPr="000B672D">
          <w:rPr>
            <w:rFonts w:ascii="Times New Roman" w:hAnsi="Times New Roman"/>
            <w:noProof/>
            <w:webHidden/>
          </w:rPr>
          <w:instrText xml:space="preserve"> PAGEREF _Toc2778484 \h </w:instrText>
        </w:r>
        <w:r w:rsidRPr="000B672D">
          <w:rPr>
            <w:rFonts w:ascii="Times New Roman" w:hAnsi="Times New Roman"/>
            <w:noProof/>
            <w:webHidden/>
          </w:rPr>
        </w:r>
        <w:r w:rsidRPr="000B672D">
          <w:rPr>
            <w:rFonts w:ascii="Times New Roman" w:hAnsi="Times New Roman"/>
            <w:noProof/>
            <w:webHidden/>
          </w:rPr>
          <w:fldChar w:fldCharType="separate"/>
        </w:r>
        <w:r w:rsidRPr="000B672D">
          <w:rPr>
            <w:rFonts w:ascii="Times New Roman" w:hAnsi="Times New Roman"/>
            <w:noProof/>
            <w:webHidden/>
          </w:rPr>
          <w:t>8</w:t>
        </w:r>
        <w:r w:rsidRPr="000B672D">
          <w:rPr>
            <w:rFonts w:ascii="Times New Roman" w:hAnsi="Times New Roman"/>
            <w:noProof/>
            <w:webHidden/>
          </w:rPr>
          <w:fldChar w:fldCharType="end"/>
        </w:r>
      </w:hyperlink>
    </w:p>
    <w:p w14:paraId="4798321F" w14:textId="77777777" w:rsidR="00413974" w:rsidRPr="000B672D" w:rsidRDefault="00413974">
      <w:pPr>
        <w:pStyle w:val="TOC1"/>
        <w:tabs>
          <w:tab w:val="right" w:leader="dot" w:pos="9350"/>
        </w:tabs>
        <w:rPr>
          <w:rFonts w:ascii="Times New Roman" w:eastAsiaTheme="minorEastAsia" w:hAnsi="Times New Roman"/>
          <w:b w:val="0"/>
          <w:bCs w:val="0"/>
          <w:caps w:val="0"/>
          <w:noProof/>
          <w:snapToGrid/>
        </w:rPr>
      </w:pPr>
      <w:hyperlink w:anchor="_Toc2778485" w:history="1">
        <w:r w:rsidRPr="000B672D">
          <w:rPr>
            <w:rStyle w:val="Hyperlink"/>
            <w:rFonts w:ascii="Times New Roman" w:hAnsi="Times New Roman"/>
            <w:noProof/>
          </w:rPr>
          <w:t>II. Description of Proposed Transaction</w:t>
        </w:r>
        <w:r w:rsidRPr="000B672D">
          <w:rPr>
            <w:rFonts w:ascii="Times New Roman" w:hAnsi="Times New Roman"/>
            <w:noProof/>
            <w:webHidden/>
          </w:rPr>
          <w:tab/>
        </w:r>
        <w:r w:rsidRPr="000B672D">
          <w:rPr>
            <w:rFonts w:ascii="Times New Roman" w:hAnsi="Times New Roman"/>
            <w:noProof/>
            <w:webHidden/>
          </w:rPr>
          <w:fldChar w:fldCharType="begin"/>
        </w:r>
        <w:r w:rsidRPr="000B672D">
          <w:rPr>
            <w:rFonts w:ascii="Times New Roman" w:hAnsi="Times New Roman"/>
            <w:noProof/>
            <w:webHidden/>
          </w:rPr>
          <w:instrText xml:space="preserve"> PAGEREF _Toc2778485 \h </w:instrText>
        </w:r>
        <w:r w:rsidRPr="000B672D">
          <w:rPr>
            <w:rFonts w:ascii="Times New Roman" w:hAnsi="Times New Roman"/>
            <w:noProof/>
            <w:webHidden/>
          </w:rPr>
        </w:r>
        <w:r w:rsidRPr="000B672D">
          <w:rPr>
            <w:rFonts w:ascii="Times New Roman" w:hAnsi="Times New Roman"/>
            <w:noProof/>
            <w:webHidden/>
          </w:rPr>
          <w:fldChar w:fldCharType="separate"/>
        </w:r>
        <w:r w:rsidRPr="000B672D">
          <w:rPr>
            <w:rFonts w:ascii="Times New Roman" w:hAnsi="Times New Roman"/>
            <w:noProof/>
            <w:webHidden/>
          </w:rPr>
          <w:t>16</w:t>
        </w:r>
        <w:r w:rsidRPr="000B672D">
          <w:rPr>
            <w:rFonts w:ascii="Times New Roman" w:hAnsi="Times New Roman"/>
            <w:noProof/>
            <w:webHidden/>
          </w:rPr>
          <w:fldChar w:fldCharType="end"/>
        </w:r>
      </w:hyperlink>
    </w:p>
    <w:p w14:paraId="34C7A38F" w14:textId="77777777" w:rsidR="00413974" w:rsidRPr="000B672D" w:rsidRDefault="00413974">
      <w:pPr>
        <w:pStyle w:val="TOC1"/>
        <w:tabs>
          <w:tab w:val="right" w:leader="dot" w:pos="9350"/>
        </w:tabs>
        <w:rPr>
          <w:rFonts w:ascii="Times New Roman" w:eastAsiaTheme="minorEastAsia" w:hAnsi="Times New Roman"/>
          <w:b w:val="0"/>
          <w:bCs w:val="0"/>
          <w:caps w:val="0"/>
          <w:noProof/>
          <w:snapToGrid/>
        </w:rPr>
      </w:pPr>
      <w:hyperlink w:anchor="_Toc2778486" w:history="1">
        <w:r w:rsidRPr="000B672D">
          <w:rPr>
            <w:rStyle w:val="Hyperlink"/>
            <w:rFonts w:ascii="Times New Roman" w:hAnsi="Times New Roman"/>
            <w:noProof/>
          </w:rPr>
          <w:t>III. Findings of Fact</w:t>
        </w:r>
        <w:r w:rsidRPr="000B672D">
          <w:rPr>
            <w:rFonts w:ascii="Times New Roman" w:hAnsi="Times New Roman"/>
            <w:noProof/>
            <w:webHidden/>
          </w:rPr>
          <w:tab/>
        </w:r>
        <w:r w:rsidRPr="000B672D">
          <w:rPr>
            <w:rFonts w:ascii="Times New Roman" w:hAnsi="Times New Roman"/>
            <w:noProof/>
            <w:webHidden/>
          </w:rPr>
          <w:fldChar w:fldCharType="begin"/>
        </w:r>
        <w:r w:rsidRPr="000B672D">
          <w:rPr>
            <w:rFonts w:ascii="Times New Roman" w:hAnsi="Times New Roman"/>
            <w:noProof/>
            <w:webHidden/>
          </w:rPr>
          <w:instrText xml:space="preserve"> PAGEREF _Toc2778486 \h </w:instrText>
        </w:r>
        <w:r w:rsidRPr="000B672D">
          <w:rPr>
            <w:rFonts w:ascii="Times New Roman" w:hAnsi="Times New Roman"/>
            <w:noProof/>
            <w:webHidden/>
          </w:rPr>
        </w:r>
        <w:r w:rsidRPr="000B672D">
          <w:rPr>
            <w:rFonts w:ascii="Times New Roman" w:hAnsi="Times New Roman"/>
            <w:noProof/>
            <w:webHidden/>
          </w:rPr>
          <w:fldChar w:fldCharType="separate"/>
        </w:r>
        <w:r w:rsidRPr="000B672D">
          <w:rPr>
            <w:rFonts w:ascii="Times New Roman" w:hAnsi="Times New Roman"/>
            <w:noProof/>
            <w:webHidden/>
          </w:rPr>
          <w:t>22</w:t>
        </w:r>
        <w:r w:rsidRPr="000B672D">
          <w:rPr>
            <w:rFonts w:ascii="Times New Roman" w:hAnsi="Times New Roman"/>
            <w:noProof/>
            <w:webHidden/>
          </w:rPr>
          <w:fldChar w:fldCharType="end"/>
        </w:r>
      </w:hyperlink>
    </w:p>
    <w:p w14:paraId="69DA65AF" w14:textId="77777777" w:rsidR="00413974" w:rsidRPr="000B672D" w:rsidRDefault="00413974">
      <w:pPr>
        <w:pStyle w:val="TOC2"/>
        <w:tabs>
          <w:tab w:val="right" w:leader="dot" w:pos="9350"/>
        </w:tabs>
        <w:rPr>
          <w:rFonts w:ascii="Times New Roman" w:eastAsiaTheme="minorEastAsia" w:hAnsi="Times New Roman"/>
          <w:b w:val="0"/>
          <w:bCs w:val="0"/>
          <w:noProof/>
          <w:snapToGrid/>
          <w:sz w:val="24"/>
          <w:szCs w:val="24"/>
        </w:rPr>
      </w:pPr>
      <w:hyperlink w:anchor="_Toc2778487" w:history="1">
        <w:r w:rsidRPr="000B672D">
          <w:rPr>
            <w:rStyle w:val="Hyperlink"/>
            <w:rFonts w:ascii="Times New Roman" w:hAnsi="Times New Roman"/>
            <w:noProof/>
            <w:sz w:val="24"/>
            <w:szCs w:val="24"/>
          </w:rPr>
          <w:t>A. Identification and Procedure</w:t>
        </w:r>
        <w:r w:rsidRPr="000B672D">
          <w:rPr>
            <w:rFonts w:ascii="Times New Roman" w:hAnsi="Times New Roman"/>
            <w:noProof/>
            <w:webHidden/>
            <w:sz w:val="24"/>
            <w:szCs w:val="24"/>
          </w:rPr>
          <w:tab/>
        </w:r>
        <w:r w:rsidRPr="000B672D">
          <w:rPr>
            <w:rFonts w:ascii="Times New Roman" w:hAnsi="Times New Roman"/>
            <w:noProof/>
            <w:webHidden/>
            <w:sz w:val="24"/>
            <w:szCs w:val="24"/>
          </w:rPr>
          <w:fldChar w:fldCharType="begin"/>
        </w:r>
        <w:r w:rsidRPr="000B672D">
          <w:rPr>
            <w:rFonts w:ascii="Times New Roman" w:hAnsi="Times New Roman"/>
            <w:noProof/>
            <w:webHidden/>
            <w:sz w:val="24"/>
            <w:szCs w:val="24"/>
          </w:rPr>
          <w:instrText xml:space="preserve"> PAGEREF _Toc2778487 \h </w:instrText>
        </w:r>
        <w:r w:rsidRPr="000B672D">
          <w:rPr>
            <w:rFonts w:ascii="Times New Roman" w:hAnsi="Times New Roman"/>
            <w:noProof/>
            <w:webHidden/>
            <w:sz w:val="24"/>
            <w:szCs w:val="24"/>
          </w:rPr>
        </w:r>
        <w:r w:rsidRPr="000B672D">
          <w:rPr>
            <w:rFonts w:ascii="Times New Roman" w:hAnsi="Times New Roman"/>
            <w:noProof/>
            <w:webHidden/>
            <w:sz w:val="24"/>
            <w:szCs w:val="24"/>
          </w:rPr>
          <w:fldChar w:fldCharType="separate"/>
        </w:r>
        <w:r w:rsidRPr="000B672D">
          <w:rPr>
            <w:rFonts w:ascii="Times New Roman" w:hAnsi="Times New Roman"/>
            <w:noProof/>
            <w:webHidden/>
            <w:sz w:val="24"/>
            <w:szCs w:val="24"/>
          </w:rPr>
          <w:t>22</w:t>
        </w:r>
        <w:r w:rsidRPr="000B672D">
          <w:rPr>
            <w:rFonts w:ascii="Times New Roman" w:hAnsi="Times New Roman"/>
            <w:noProof/>
            <w:webHidden/>
            <w:sz w:val="24"/>
            <w:szCs w:val="24"/>
          </w:rPr>
          <w:fldChar w:fldCharType="end"/>
        </w:r>
      </w:hyperlink>
    </w:p>
    <w:p w14:paraId="7A7BE860" w14:textId="77777777" w:rsidR="00413974" w:rsidRPr="000B672D" w:rsidRDefault="00413974">
      <w:pPr>
        <w:pStyle w:val="TOC3"/>
        <w:tabs>
          <w:tab w:val="left" w:pos="720"/>
          <w:tab w:val="right" w:leader="dot" w:pos="9350"/>
        </w:tabs>
        <w:rPr>
          <w:rFonts w:ascii="Times New Roman" w:eastAsiaTheme="minorEastAsia" w:hAnsi="Times New Roman"/>
          <w:noProof/>
          <w:snapToGrid/>
          <w:sz w:val="24"/>
          <w:szCs w:val="24"/>
        </w:rPr>
      </w:pPr>
      <w:hyperlink w:anchor="_Toc2778488" w:history="1">
        <w:r w:rsidRPr="000B672D">
          <w:rPr>
            <w:rStyle w:val="Hyperlink"/>
            <w:rFonts w:ascii="Times New Roman" w:hAnsi="Times New Roman"/>
            <w:noProof/>
            <w:sz w:val="24"/>
            <w:szCs w:val="24"/>
          </w:rPr>
          <w:t>1.</w:t>
        </w:r>
        <w:r w:rsidRPr="000B672D">
          <w:rPr>
            <w:rFonts w:ascii="Times New Roman" w:eastAsiaTheme="minorEastAsia" w:hAnsi="Times New Roman"/>
            <w:noProof/>
            <w:snapToGrid/>
            <w:sz w:val="24"/>
            <w:szCs w:val="24"/>
          </w:rPr>
          <w:tab/>
        </w:r>
        <w:r w:rsidRPr="000B672D">
          <w:rPr>
            <w:rStyle w:val="Hyperlink"/>
            <w:rFonts w:ascii="Times New Roman" w:hAnsi="Times New Roman"/>
            <w:noProof/>
            <w:sz w:val="24"/>
            <w:szCs w:val="24"/>
          </w:rPr>
          <w:t>Identification of Applicant and Background</w:t>
        </w:r>
        <w:r w:rsidRPr="000B672D">
          <w:rPr>
            <w:rFonts w:ascii="Times New Roman" w:hAnsi="Times New Roman"/>
            <w:noProof/>
            <w:webHidden/>
            <w:sz w:val="24"/>
            <w:szCs w:val="24"/>
          </w:rPr>
          <w:tab/>
        </w:r>
        <w:r w:rsidRPr="000B672D">
          <w:rPr>
            <w:rFonts w:ascii="Times New Roman" w:hAnsi="Times New Roman"/>
            <w:noProof/>
            <w:webHidden/>
            <w:sz w:val="24"/>
            <w:szCs w:val="24"/>
          </w:rPr>
          <w:fldChar w:fldCharType="begin"/>
        </w:r>
        <w:r w:rsidRPr="000B672D">
          <w:rPr>
            <w:rFonts w:ascii="Times New Roman" w:hAnsi="Times New Roman"/>
            <w:noProof/>
            <w:webHidden/>
            <w:sz w:val="24"/>
            <w:szCs w:val="24"/>
          </w:rPr>
          <w:instrText xml:space="preserve"> PAGEREF _Toc2778488 \h </w:instrText>
        </w:r>
        <w:r w:rsidRPr="000B672D">
          <w:rPr>
            <w:rFonts w:ascii="Times New Roman" w:hAnsi="Times New Roman"/>
            <w:noProof/>
            <w:webHidden/>
            <w:sz w:val="24"/>
            <w:szCs w:val="24"/>
          </w:rPr>
        </w:r>
        <w:r w:rsidRPr="000B672D">
          <w:rPr>
            <w:rFonts w:ascii="Times New Roman" w:hAnsi="Times New Roman"/>
            <w:noProof/>
            <w:webHidden/>
            <w:sz w:val="24"/>
            <w:szCs w:val="24"/>
          </w:rPr>
          <w:fldChar w:fldCharType="separate"/>
        </w:r>
        <w:r w:rsidRPr="000B672D">
          <w:rPr>
            <w:rFonts w:ascii="Times New Roman" w:hAnsi="Times New Roman"/>
            <w:noProof/>
            <w:webHidden/>
            <w:sz w:val="24"/>
            <w:szCs w:val="24"/>
          </w:rPr>
          <w:t>22</w:t>
        </w:r>
        <w:r w:rsidRPr="000B672D">
          <w:rPr>
            <w:rFonts w:ascii="Times New Roman" w:hAnsi="Times New Roman"/>
            <w:noProof/>
            <w:webHidden/>
            <w:sz w:val="24"/>
            <w:szCs w:val="24"/>
          </w:rPr>
          <w:fldChar w:fldCharType="end"/>
        </w:r>
      </w:hyperlink>
    </w:p>
    <w:p w14:paraId="7E8EAA1A" w14:textId="77777777" w:rsidR="00413974" w:rsidRPr="000B672D" w:rsidRDefault="00413974">
      <w:pPr>
        <w:pStyle w:val="TOC3"/>
        <w:tabs>
          <w:tab w:val="left" w:pos="720"/>
          <w:tab w:val="right" w:leader="dot" w:pos="9350"/>
        </w:tabs>
        <w:rPr>
          <w:rFonts w:ascii="Times New Roman" w:eastAsiaTheme="minorEastAsia" w:hAnsi="Times New Roman"/>
          <w:noProof/>
          <w:snapToGrid/>
          <w:sz w:val="24"/>
          <w:szCs w:val="24"/>
        </w:rPr>
      </w:pPr>
      <w:hyperlink w:anchor="_Toc2778489" w:history="1">
        <w:r w:rsidRPr="000B672D">
          <w:rPr>
            <w:rStyle w:val="Hyperlink"/>
            <w:rFonts w:ascii="Times New Roman" w:hAnsi="Times New Roman"/>
            <w:noProof/>
            <w:sz w:val="24"/>
            <w:szCs w:val="24"/>
          </w:rPr>
          <w:t>2.</w:t>
        </w:r>
        <w:r w:rsidRPr="000B672D">
          <w:rPr>
            <w:rFonts w:ascii="Times New Roman" w:eastAsiaTheme="minorEastAsia" w:hAnsi="Times New Roman"/>
            <w:noProof/>
            <w:snapToGrid/>
            <w:sz w:val="24"/>
            <w:szCs w:val="24"/>
          </w:rPr>
          <w:tab/>
        </w:r>
        <w:r w:rsidRPr="000B672D">
          <w:rPr>
            <w:rStyle w:val="Hyperlink"/>
            <w:rFonts w:ascii="Times New Roman" w:hAnsi="Times New Roman"/>
            <w:noProof/>
            <w:sz w:val="24"/>
            <w:szCs w:val="24"/>
          </w:rPr>
          <w:t>Procedural History</w:t>
        </w:r>
        <w:r w:rsidRPr="000B672D">
          <w:rPr>
            <w:rFonts w:ascii="Times New Roman" w:hAnsi="Times New Roman"/>
            <w:noProof/>
            <w:webHidden/>
            <w:sz w:val="24"/>
            <w:szCs w:val="24"/>
          </w:rPr>
          <w:tab/>
        </w:r>
        <w:r w:rsidRPr="000B672D">
          <w:rPr>
            <w:rFonts w:ascii="Times New Roman" w:hAnsi="Times New Roman"/>
            <w:noProof/>
            <w:webHidden/>
            <w:sz w:val="24"/>
            <w:szCs w:val="24"/>
          </w:rPr>
          <w:fldChar w:fldCharType="begin"/>
        </w:r>
        <w:r w:rsidRPr="000B672D">
          <w:rPr>
            <w:rFonts w:ascii="Times New Roman" w:hAnsi="Times New Roman"/>
            <w:noProof/>
            <w:webHidden/>
            <w:sz w:val="24"/>
            <w:szCs w:val="24"/>
          </w:rPr>
          <w:instrText xml:space="preserve"> PAGEREF _Toc2778489 \h </w:instrText>
        </w:r>
        <w:r w:rsidRPr="000B672D">
          <w:rPr>
            <w:rFonts w:ascii="Times New Roman" w:hAnsi="Times New Roman"/>
            <w:noProof/>
            <w:webHidden/>
            <w:sz w:val="24"/>
            <w:szCs w:val="24"/>
          </w:rPr>
        </w:r>
        <w:r w:rsidRPr="000B672D">
          <w:rPr>
            <w:rFonts w:ascii="Times New Roman" w:hAnsi="Times New Roman"/>
            <w:noProof/>
            <w:webHidden/>
            <w:sz w:val="24"/>
            <w:szCs w:val="24"/>
          </w:rPr>
          <w:fldChar w:fldCharType="separate"/>
        </w:r>
        <w:r w:rsidRPr="000B672D">
          <w:rPr>
            <w:rFonts w:ascii="Times New Roman" w:hAnsi="Times New Roman"/>
            <w:noProof/>
            <w:webHidden/>
            <w:sz w:val="24"/>
            <w:szCs w:val="24"/>
          </w:rPr>
          <w:t>23</w:t>
        </w:r>
        <w:r w:rsidRPr="000B672D">
          <w:rPr>
            <w:rFonts w:ascii="Times New Roman" w:hAnsi="Times New Roman"/>
            <w:noProof/>
            <w:webHidden/>
            <w:sz w:val="24"/>
            <w:szCs w:val="24"/>
          </w:rPr>
          <w:fldChar w:fldCharType="end"/>
        </w:r>
      </w:hyperlink>
    </w:p>
    <w:p w14:paraId="4220919E" w14:textId="77777777" w:rsidR="00413974" w:rsidRPr="000B672D" w:rsidRDefault="00413974">
      <w:pPr>
        <w:pStyle w:val="TOC3"/>
        <w:tabs>
          <w:tab w:val="left" w:pos="720"/>
          <w:tab w:val="right" w:leader="dot" w:pos="9350"/>
        </w:tabs>
        <w:rPr>
          <w:rFonts w:ascii="Times New Roman" w:eastAsiaTheme="minorEastAsia" w:hAnsi="Times New Roman"/>
          <w:noProof/>
          <w:snapToGrid/>
          <w:sz w:val="24"/>
          <w:szCs w:val="24"/>
        </w:rPr>
      </w:pPr>
      <w:hyperlink w:anchor="_Toc2778490" w:history="1">
        <w:r w:rsidRPr="000B672D">
          <w:rPr>
            <w:rStyle w:val="Hyperlink"/>
            <w:rFonts w:ascii="Times New Roman" w:hAnsi="Times New Roman"/>
            <w:noProof/>
            <w:sz w:val="24"/>
            <w:szCs w:val="24"/>
          </w:rPr>
          <w:t>3.</w:t>
        </w:r>
        <w:r w:rsidRPr="000B672D">
          <w:rPr>
            <w:rFonts w:ascii="Times New Roman" w:eastAsiaTheme="minorEastAsia" w:hAnsi="Times New Roman"/>
            <w:noProof/>
            <w:snapToGrid/>
            <w:sz w:val="24"/>
            <w:szCs w:val="24"/>
          </w:rPr>
          <w:tab/>
        </w:r>
        <w:r w:rsidRPr="000B672D">
          <w:rPr>
            <w:rStyle w:val="Hyperlink"/>
            <w:rFonts w:ascii="Times New Roman" w:hAnsi="Times New Roman"/>
            <w:noProof/>
            <w:sz w:val="24"/>
            <w:szCs w:val="24"/>
          </w:rPr>
          <w:t>Notice of Application</w:t>
        </w:r>
        <w:r w:rsidRPr="000B672D">
          <w:rPr>
            <w:rFonts w:ascii="Times New Roman" w:hAnsi="Times New Roman"/>
            <w:noProof/>
            <w:webHidden/>
            <w:sz w:val="24"/>
            <w:szCs w:val="24"/>
          </w:rPr>
          <w:tab/>
        </w:r>
        <w:r w:rsidRPr="000B672D">
          <w:rPr>
            <w:rFonts w:ascii="Times New Roman" w:hAnsi="Times New Roman"/>
            <w:noProof/>
            <w:webHidden/>
            <w:sz w:val="24"/>
            <w:szCs w:val="24"/>
          </w:rPr>
          <w:fldChar w:fldCharType="begin"/>
        </w:r>
        <w:r w:rsidRPr="000B672D">
          <w:rPr>
            <w:rFonts w:ascii="Times New Roman" w:hAnsi="Times New Roman"/>
            <w:noProof/>
            <w:webHidden/>
            <w:sz w:val="24"/>
            <w:szCs w:val="24"/>
          </w:rPr>
          <w:instrText xml:space="preserve"> PAGEREF _Toc2778490 \h </w:instrText>
        </w:r>
        <w:r w:rsidRPr="000B672D">
          <w:rPr>
            <w:rFonts w:ascii="Times New Roman" w:hAnsi="Times New Roman"/>
            <w:noProof/>
            <w:webHidden/>
            <w:sz w:val="24"/>
            <w:szCs w:val="24"/>
          </w:rPr>
        </w:r>
        <w:r w:rsidRPr="000B672D">
          <w:rPr>
            <w:rFonts w:ascii="Times New Roman" w:hAnsi="Times New Roman"/>
            <w:noProof/>
            <w:webHidden/>
            <w:sz w:val="24"/>
            <w:szCs w:val="24"/>
          </w:rPr>
          <w:fldChar w:fldCharType="separate"/>
        </w:r>
        <w:r w:rsidRPr="000B672D">
          <w:rPr>
            <w:rFonts w:ascii="Times New Roman" w:hAnsi="Times New Roman"/>
            <w:noProof/>
            <w:webHidden/>
            <w:sz w:val="24"/>
            <w:szCs w:val="24"/>
          </w:rPr>
          <w:t>24</w:t>
        </w:r>
        <w:r w:rsidRPr="000B672D">
          <w:rPr>
            <w:rFonts w:ascii="Times New Roman" w:hAnsi="Times New Roman"/>
            <w:noProof/>
            <w:webHidden/>
            <w:sz w:val="24"/>
            <w:szCs w:val="24"/>
          </w:rPr>
          <w:fldChar w:fldCharType="end"/>
        </w:r>
      </w:hyperlink>
    </w:p>
    <w:p w14:paraId="767F4312" w14:textId="77777777" w:rsidR="00413974" w:rsidRPr="000B672D" w:rsidRDefault="00413974">
      <w:pPr>
        <w:pStyle w:val="TOC2"/>
        <w:tabs>
          <w:tab w:val="right" w:leader="dot" w:pos="9350"/>
        </w:tabs>
        <w:rPr>
          <w:rFonts w:ascii="Times New Roman" w:eastAsiaTheme="minorEastAsia" w:hAnsi="Times New Roman"/>
          <w:b w:val="0"/>
          <w:bCs w:val="0"/>
          <w:noProof/>
          <w:snapToGrid/>
          <w:sz w:val="24"/>
          <w:szCs w:val="24"/>
        </w:rPr>
      </w:pPr>
      <w:hyperlink w:anchor="_Toc2778491" w:history="1">
        <w:r w:rsidRPr="000B672D">
          <w:rPr>
            <w:rStyle w:val="Hyperlink"/>
            <w:rFonts w:ascii="Times New Roman" w:hAnsi="Times New Roman"/>
            <w:noProof/>
            <w:sz w:val="24"/>
            <w:szCs w:val="24"/>
          </w:rPr>
          <w:t>B. Qualified Costs and Amount to be Securitized</w:t>
        </w:r>
        <w:r w:rsidRPr="000B672D">
          <w:rPr>
            <w:rFonts w:ascii="Times New Roman" w:hAnsi="Times New Roman"/>
            <w:noProof/>
            <w:webHidden/>
            <w:sz w:val="24"/>
            <w:szCs w:val="24"/>
          </w:rPr>
          <w:tab/>
        </w:r>
        <w:r w:rsidRPr="000B672D">
          <w:rPr>
            <w:rFonts w:ascii="Times New Roman" w:hAnsi="Times New Roman"/>
            <w:noProof/>
            <w:webHidden/>
            <w:sz w:val="24"/>
            <w:szCs w:val="24"/>
          </w:rPr>
          <w:fldChar w:fldCharType="begin"/>
        </w:r>
        <w:r w:rsidRPr="000B672D">
          <w:rPr>
            <w:rFonts w:ascii="Times New Roman" w:hAnsi="Times New Roman"/>
            <w:noProof/>
            <w:webHidden/>
            <w:sz w:val="24"/>
            <w:szCs w:val="24"/>
          </w:rPr>
          <w:instrText xml:space="preserve"> PAGEREF _Toc2778491 \h </w:instrText>
        </w:r>
        <w:r w:rsidRPr="000B672D">
          <w:rPr>
            <w:rFonts w:ascii="Times New Roman" w:hAnsi="Times New Roman"/>
            <w:noProof/>
            <w:webHidden/>
            <w:sz w:val="24"/>
            <w:szCs w:val="24"/>
          </w:rPr>
        </w:r>
        <w:r w:rsidRPr="000B672D">
          <w:rPr>
            <w:rFonts w:ascii="Times New Roman" w:hAnsi="Times New Roman"/>
            <w:noProof/>
            <w:webHidden/>
            <w:sz w:val="24"/>
            <w:szCs w:val="24"/>
          </w:rPr>
          <w:fldChar w:fldCharType="separate"/>
        </w:r>
        <w:r w:rsidRPr="000B672D">
          <w:rPr>
            <w:rFonts w:ascii="Times New Roman" w:hAnsi="Times New Roman"/>
            <w:noProof/>
            <w:webHidden/>
            <w:sz w:val="24"/>
            <w:szCs w:val="24"/>
          </w:rPr>
          <w:t>24</w:t>
        </w:r>
        <w:r w:rsidRPr="000B672D">
          <w:rPr>
            <w:rFonts w:ascii="Times New Roman" w:hAnsi="Times New Roman"/>
            <w:noProof/>
            <w:webHidden/>
            <w:sz w:val="24"/>
            <w:szCs w:val="24"/>
          </w:rPr>
          <w:fldChar w:fldCharType="end"/>
        </w:r>
      </w:hyperlink>
    </w:p>
    <w:p w14:paraId="0B3D003B" w14:textId="77777777" w:rsidR="00413974" w:rsidRPr="000B672D" w:rsidRDefault="00413974">
      <w:pPr>
        <w:pStyle w:val="TOC3"/>
        <w:tabs>
          <w:tab w:val="left" w:pos="720"/>
          <w:tab w:val="right" w:leader="dot" w:pos="9350"/>
        </w:tabs>
        <w:rPr>
          <w:rFonts w:ascii="Times New Roman" w:eastAsiaTheme="minorEastAsia" w:hAnsi="Times New Roman"/>
          <w:noProof/>
          <w:snapToGrid/>
          <w:sz w:val="24"/>
          <w:szCs w:val="24"/>
        </w:rPr>
      </w:pPr>
      <w:hyperlink w:anchor="_Toc2778492" w:history="1">
        <w:r w:rsidRPr="000B672D">
          <w:rPr>
            <w:rStyle w:val="Hyperlink"/>
            <w:rFonts w:ascii="Times New Roman" w:hAnsi="Times New Roman"/>
            <w:noProof/>
            <w:sz w:val="24"/>
            <w:szCs w:val="24"/>
          </w:rPr>
          <w:t>1.</w:t>
        </w:r>
        <w:r w:rsidRPr="000B672D">
          <w:rPr>
            <w:rFonts w:ascii="Times New Roman" w:eastAsiaTheme="minorEastAsia" w:hAnsi="Times New Roman"/>
            <w:noProof/>
            <w:snapToGrid/>
            <w:sz w:val="24"/>
            <w:szCs w:val="24"/>
          </w:rPr>
          <w:tab/>
        </w:r>
        <w:r w:rsidRPr="000B672D">
          <w:rPr>
            <w:rStyle w:val="Hyperlink"/>
            <w:rFonts w:ascii="Times New Roman" w:hAnsi="Times New Roman"/>
            <w:noProof/>
            <w:sz w:val="24"/>
            <w:szCs w:val="24"/>
          </w:rPr>
          <w:t>Identification</w:t>
        </w:r>
        <w:r w:rsidRPr="000B672D">
          <w:rPr>
            <w:rFonts w:ascii="Times New Roman" w:hAnsi="Times New Roman"/>
            <w:noProof/>
            <w:webHidden/>
            <w:sz w:val="24"/>
            <w:szCs w:val="24"/>
          </w:rPr>
          <w:tab/>
        </w:r>
        <w:r w:rsidRPr="000B672D">
          <w:rPr>
            <w:rFonts w:ascii="Times New Roman" w:hAnsi="Times New Roman"/>
            <w:noProof/>
            <w:webHidden/>
            <w:sz w:val="24"/>
            <w:szCs w:val="24"/>
          </w:rPr>
          <w:fldChar w:fldCharType="begin"/>
        </w:r>
        <w:r w:rsidRPr="000B672D">
          <w:rPr>
            <w:rFonts w:ascii="Times New Roman" w:hAnsi="Times New Roman"/>
            <w:noProof/>
            <w:webHidden/>
            <w:sz w:val="24"/>
            <w:szCs w:val="24"/>
          </w:rPr>
          <w:instrText xml:space="preserve"> PAGEREF _Toc2778492 \h </w:instrText>
        </w:r>
        <w:r w:rsidRPr="000B672D">
          <w:rPr>
            <w:rFonts w:ascii="Times New Roman" w:hAnsi="Times New Roman"/>
            <w:noProof/>
            <w:webHidden/>
            <w:sz w:val="24"/>
            <w:szCs w:val="24"/>
          </w:rPr>
        </w:r>
        <w:r w:rsidRPr="000B672D">
          <w:rPr>
            <w:rFonts w:ascii="Times New Roman" w:hAnsi="Times New Roman"/>
            <w:noProof/>
            <w:webHidden/>
            <w:sz w:val="24"/>
            <w:szCs w:val="24"/>
          </w:rPr>
          <w:fldChar w:fldCharType="separate"/>
        </w:r>
        <w:r w:rsidRPr="000B672D">
          <w:rPr>
            <w:rFonts w:ascii="Times New Roman" w:hAnsi="Times New Roman"/>
            <w:noProof/>
            <w:webHidden/>
            <w:sz w:val="24"/>
            <w:szCs w:val="24"/>
          </w:rPr>
          <w:t>24</w:t>
        </w:r>
        <w:r w:rsidRPr="000B672D">
          <w:rPr>
            <w:rFonts w:ascii="Times New Roman" w:hAnsi="Times New Roman"/>
            <w:noProof/>
            <w:webHidden/>
            <w:sz w:val="24"/>
            <w:szCs w:val="24"/>
          </w:rPr>
          <w:fldChar w:fldCharType="end"/>
        </w:r>
      </w:hyperlink>
    </w:p>
    <w:p w14:paraId="3E3E801F" w14:textId="77777777" w:rsidR="00413974" w:rsidRPr="000B672D" w:rsidRDefault="00413974">
      <w:pPr>
        <w:pStyle w:val="TOC3"/>
        <w:tabs>
          <w:tab w:val="left" w:pos="720"/>
          <w:tab w:val="right" w:leader="dot" w:pos="9350"/>
        </w:tabs>
        <w:rPr>
          <w:rFonts w:ascii="Times New Roman" w:eastAsiaTheme="minorEastAsia" w:hAnsi="Times New Roman"/>
          <w:noProof/>
          <w:snapToGrid/>
          <w:sz w:val="24"/>
          <w:szCs w:val="24"/>
        </w:rPr>
      </w:pPr>
      <w:hyperlink w:anchor="_Toc2778493" w:history="1">
        <w:r w:rsidRPr="000B672D">
          <w:rPr>
            <w:rStyle w:val="Hyperlink"/>
            <w:rFonts w:ascii="Times New Roman" w:hAnsi="Times New Roman"/>
            <w:noProof/>
            <w:sz w:val="24"/>
            <w:szCs w:val="24"/>
          </w:rPr>
          <w:t>2.</w:t>
        </w:r>
        <w:r w:rsidRPr="000B672D">
          <w:rPr>
            <w:rFonts w:ascii="Times New Roman" w:eastAsiaTheme="minorEastAsia" w:hAnsi="Times New Roman"/>
            <w:noProof/>
            <w:snapToGrid/>
            <w:sz w:val="24"/>
            <w:szCs w:val="24"/>
          </w:rPr>
          <w:tab/>
        </w:r>
        <w:r w:rsidRPr="000B672D">
          <w:rPr>
            <w:rStyle w:val="Hyperlink"/>
            <w:rFonts w:ascii="Times New Roman" w:hAnsi="Times New Roman"/>
            <w:noProof/>
            <w:sz w:val="24"/>
            <w:szCs w:val="24"/>
          </w:rPr>
          <w:t>Accumulated Deferred Federal Income Tax Benefits</w:t>
        </w:r>
        <w:r w:rsidRPr="000B672D">
          <w:rPr>
            <w:rFonts w:ascii="Times New Roman" w:hAnsi="Times New Roman"/>
            <w:noProof/>
            <w:webHidden/>
            <w:sz w:val="24"/>
            <w:szCs w:val="24"/>
          </w:rPr>
          <w:tab/>
        </w:r>
        <w:r w:rsidRPr="000B672D">
          <w:rPr>
            <w:rFonts w:ascii="Times New Roman" w:hAnsi="Times New Roman"/>
            <w:noProof/>
            <w:webHidden/>
            <w:sz w:val="24"/>
            <w:szCs w:val="24"/>
          </w:rPr>
          <w:fldChar w:fldCharType="begin"/>
        </w:r>
        <w:r w:rsidRPr="000B672D">
          <w:rPr>
            <w:rFonts w:ascii="Times New Roman" w:hAnsi="Times New Roman"/>
            <w:noProof/>
            <w:webHidden/>
            <w:sz w:val="24"/>
            <w:szCs w:val="24"/>
          </w:rPr>
          <w:instrText xml:space="preserve"> PAGEREF _Toc2778493 \h </w:instrText>
        </w:r>
        <w:r w:rsidRPr="000B672D">
          <w:rPr>
            <w:rFonts w:ascii="Times New Roman" w:hAnsi="Times New Roman"/>
            <w:noProof/>
            <w:webHidden/>
            <w:sz w:val="24"/>
            <w:szCs w:val="24"/>
          </w:rPr>
        </w:r>
        <w:r w:rsidRPr="000B672D">
          <w:rPr>
            <w:rFonts w:ascii="Times New Roman" w:hAnsi="Times New Roman"/>
            <w:noProof/>
            <w:webHidden/>
            <w:sz w:val="24"/>
            <w:szCs w:val="24"/>
          </w:rPr>
          <w:fldChar w:fldCharType="separate"/>
        </w:r>
        <w:r w:rsidRPr="000B672D">
          <w:rPr>
            <w:rFonts w:ascii="Times New Roman" w:hAnsi="Times New Roman"/>
            <w:noProof/>
            <w:webHidden/>
            <w:sz w:val="24"/>
            <w:szCs w:val="24"/>
          </w:rPr>
          <w:t>26</w:t>
        </w:r>
        <w:r w:rsidRPr="000B672D">
          <w:rPr>
            <w:rFonts w:ascii="Times New Roman" w:hAnsi="Times New Roman"/>
            <w:noProof/>
            <w:webHidden/>
            <w:sz w:val="24"/>
            <w:szCs w:val="24"/>
          </w:rPr>
          <w:fldChar w:fldCharType="end"/>
        </w:r>
      </w:hyperlink>
    </w:p>
    <w:p w14:paraId="7EC5F0F0" w14:textId="77777777" w:rsidR="00413974" w:rsidRPr="000B672D" w:rsidRDefault="00413974">
      <w:pPr>
        <w:pStyle w:val="TOC3"/>
        <w:tabs>
          <w:tab w:val="left" w:pos="720"/>
          <w:tab w:val="right" w:leader="dot" w:pos="9350"/>
        </w:tabs>
        <w:rPr>
          <w:rFonts w:ascii="Times New Roman" w:eastAsiaTheme="minorEastAsia" w:hAnsi="Times New Roman"/>
          <w:noProof/>
          <w:snapToGrid/>
          <w:sz w:val="24"/>
          <w:szCs w:val="24"/>
        </w:rPr>
      </w:pPr>
      <w:hyperlink w:anchor="_Toc2778494" w:history="1">
        <w:r w:rsidRPr="000B672D">
          <w:rPr>
            <w:rStyle w:val="Hyperlink"/>
            <w:rFonts w:ascii="Times New Roman" w:hAnsi="Times New Roman"/>
            <w:noProof/>
            <w:sz w:val="24"/>
            <w:szCs w:val="24"/>
          </w:rPr>
          <w:t>3.</w:t>
        </w:r>
        <w:r w:rsidRPr="000B672D">
          <w:rPr>
            <w:rFonts w:ascii="Times New Roman" w:eastAsiaTheme="minorEastAsia" w:hAnsi="Times New Roman"/>
            <w:noProof/>
            <w:snapToGrid/>
            <w:sz w:val="24"/>
            <w:szCs w:val="24"/>
          </w:rPr>
          <w:tab/>
        </w:r>
        <w:r w:rsidRPr="000B672D">
          <w:rPr>
            <w:rStyle w:val="Hyperlink"/>
            <w:rFonts w:ascii="Times New Roman" w:hAnsi="Times New Roman"/>
            <w:noProof/>
            <w:sz w:val="24"/>
            <w:szCs w:val="24"/>
          </w:rPr>
          <w:t>Balance to be Securitized</w:t>
        </w:r>
        <w:r w:rsidRPr="000B672D">
          <w:rPr>
            <w:rFonts w:ascii="Times New Roman" w:hAnsi="Times New Roman"/>
            <w:noProof/>
            <w:webHidden/>
            <w:sz w:val="24"/>
            <w:szCs w:val="24"/>
          </w:rPr>
          <w:tab/>
        </w:r>
        <w:r w:rsidRPr="000B672D">
          <w:rPr>
            <w:rFonts w:ascii="Times New Roman" w:hAnsi="Times New Roman"/>
            <w:noProof/>
            <w:webHidden/>
            <w:sz w:val="24"/>
            <w:szCs w:val="24"/>
          </w:rPr>
          <w:fldChar w:fldCharType="begin"/>
        </w:r>
        <w:r w:rsidRPr="000B672D">
          <w:rPr>
            <w:rFonts w:ascii="Times New Roman" w:hAnsi="Times New Roman"/>
            <w:noProof/>
            <w:webHidden/>
            <w:sz w:val="24"/>
            <w:szCs w:val="24"/>
          </w:rPr>
          <w:instrText xml:space="preserve"> PAGEREF _Toc2778494 \h </w:instrText>
        </w:r>
        <w:r w:rsidRPr="000B672D">
          <w:rPr>
            <w:rFonts w:ascii="Times New Roman" w:hAnsi="Times New Roman"/>
            <w:noProof/>
            <w:webHidden/>
            <w:sz w:val="24"/>
            <w:szCs w:val="24"/>
          </w:rPr>
        </w:r>
        <w:r w:rsidRPr="000B672D">
          <w:rPr>
            <w:rFonts w:ascii="Times New Roman" w:hAnsi="Times New Roman"/>
            <w:noProof/>
            <w:webHidden/>
            <w:sz w:val="24"/>
            <w:szCs w:val="24"/>
          </w:rPr>
          <w:fldChar w:fldCharType="separate"/>
        </w:r>
        <w:r w:rsidRPr="000B672D">
          <w:rPr>
            <w:rFonts w:ascii="Times New Roman" w:hAnsi="Times New Roman"/>
            <w:noProof/>
            <w:webHidden/>
            <w:sz w:val="24"/>
            <w:szCs w:val="24"/>
          </w:rPr>
          <w:t>27</w:t>
        </w:r>
        <w:r w:rsidRPr="000B672D">
          <w:rPr>
            <w:rFonts w:ascii="Times New Roman" w:hAnsi="Times New Roman"/>
            <w:noProof/>
            <w:webHidden/>
            <w:sz w:val="24"/>
            <w:szCs w:val="24"/>
          </w:rPr>
          <w:fldChar w:fldCharType="end"/>
        </w:r>
      </w:hyperlink>
    </w:p>
    <w:p w14:paraId="0AB91290" w14:textId="77777777" w:rsidR="00413974" w:rsidRPr="000B672D" w:rsidRDefault="00413974">
      <w:pPr>
        <w:pStyle w:val="TOC3"/>
        <w:tabs>
          <w:tab w:val="left" w:pos="720"/>
          <w:tab w:val="right" w:leader="dot" w:pos="9350"/>
        </w:tabs>
        <w:rPr>
          <w:rFonts w:ascii="Times New Roman" w:eastAsiaTheme="minorEastAsia" w:hAnsi="Times New Roman"/>
          <w:noProof/>
          <w:snapToGrid/>
          <w:sz w:val="24"/>
          <w:szCs w:val="24"/>
        </w:rPr>
      </w:pPr>
      <w:hyperlink w:anchor="_Toc2778495" w:history="1">
        <w:r w:rsidRPr="000B672D">
          <w:rPr>
            <w:rStyle w:val="Hyperlink"/>
            <w:rFonts w:ascii="Times New Roman" w:hAnsi="Times New Roman"/>
            <w:noProof/>
            <w:sz w:val="24"/>
            <w:szCs w:val="24"/>
          </w:rPr>
          <w:t>4.</w:t>
        </w:r>
        <w:r w:rsidRPr="000B672D">
          <w:rPr>
            <w:rFonts w:ascii="Times New Roman" w:eastAsiaTheme="minorEastAsia" w:hAnsi="Times New Roman"/>
            <w:noProof/>
            <w:snapToGrid/>
            <w:sz w:val="24"/>
            <w:szCs w:val="24"/>
          </w:rPr>
          <w:tab/>
        </w:r>
        <w:r w:rsidRPr="000B672D">
          <w:rPr>
            <w:rStyle w:val="Hyperlink"/>
            <w:rFonts w:ascii="Times New Roman" w:hAnsi="Times New Roman"/>
            <w:noProof/>
            <w:sz w:val="24"/>
            <w:szCs w:val="24"/>
          </w:rPr>
          <w:t>Issuance Advice Letter</w:t>
        </w:r>
        <w:r w:rsidRPr="000B672D">
          <w:rPr>
            <w:rFonts w:ascii="Times New Roman" w:hAnsi="Times New Roman"/>
            <w:noProof/>
            <w:webHidden/>
            <w:sz w:val="24"/>
            <w:szCs w:val="24"/>
          </w:rPr>
          <w:tab/>
        </w:r>
        <w:r w:rsidRPr="000B672D">
          <w:rPr>
            <w:rFonts w:ascii="Times New Roman" w:hAnsi="Times New Roman"/>
            <w:noProof/>
            <w:webHidden/>
            <w:sz w:val="24"/>
            <w:szCs w:val="24"/>
          </w:rPr>
          <w:fldChar w:fldCharType="begin"/>
        </w:r>
        <w:r w:rsidRPr="000B672D">
          <w:rPr>
            <w:rFonts w:ascii="Times New Roman" w:hAnsi="Times New Roman"/>
            <w:noProof/>
            <w:webHidden/>
            <w:sz w:val="24"/>
            <w:szCs w:val="24"/>
          </w:rPr>
          <w:instrText xml:space="preserve"> PAGEREF _Toc2778495 \h </w:instrText>
        </w:r>
        <w:r w:rsidRPr="000B672D">
          <w:rPr>
            <w:rFonts w:ascii="Times New Roman" w:hAnsi="Times New Roman"/>
            <w:noProof/>
            <w:webHidden/>
            <w:sz w:val="24"/>
            <w:szCs w:val="24"/>
          </w:rPr>
        </w:r>
        <w:r w:rsidRPr="000B672D">
          <w:rPr>
            <w:rFonts w:ascii="Times New Roman" w:hAnsi="Times New Roman"/>
            <w:noProof/>
            <w:webHidden/>
            <w:sz w:val="24"/>
            <w:szCs w:val="24"/>
          </w:rPr>
          <w:fldChar w:fldCharType="separate"/>
        </w:r>
        <w:r w:rsidRPr="000B672D">
          <w:rPr>
            <w:rFonts w:ascii="Times New Roman" w:hAnsi="Times New Roman"/>
            <w:noProof/>
            <w:webHidden/>
            <w:sz w:val="24"/>
            <w:szCs w:val="24"/>
          </w:rPr>
          <w:t>28</w:t>
        </w:r>
        <w:r w:rsidRPr="000B672D">
          <w:rPr>
            <w:rFonts w:ascii="Times New Roman" w:hAnsi="Times New Roman"/>
            <w:noProof/>
            <w:webHidden/>
            <w:sz w:val="24"/>
            <w:szCs w:val="24"/>
          </w:rPr>
          <w:fldChar w:fldCharType="end"/>
        </w:r>
      </w:hyperlink>
    </w:p>
    <w:p w14:paraId="7909DD06" w14:textId="77777777" w:rsidR="00413974" w:rsidRPr="000B672D" w:rsidRDefault="00413974">
      <w:pPr>
        <w:pStyle w:val="TOC3"/>
        <w:tabs>
          <w:tab w:val="left" w:pos="720"/>
          <w:tab w:val="right" w:leader="dot" w:pos="9350"/>
        </w:tabs>
        <w:rPr>
          <w:rFonts w:ascii="Times New Roman" w:eastAsiaTheme="minorEastAsia" w:hAnsi="Times New Roman"/>
          <w:noProof/>
          <w:snapToGrid/>
          <w:sz w:val="24"/>
          <w:szCs w:val="24"/>
        </w:rPr>
      </w:pPr>
      <w:hyperlink w:anchor="_Toc2778496" w:history="1">
        <w:r w:rsidRPr="000B672D">
          <w:rPr>
            <w:rStyle w:val="Hyperlink"/>
            <w:rFonts w:ascii="Times New Roman" w:hAnsi="Times New Roman"/>
            <w:noProof/>
            <w:sz w:val="24"/>
            <w:szCs w:val="24"/>
          </w:rPr>
          <w:t>5.</w:t>
        </w:r>
        <w:r w:rsidRPr="000B672D">
          <w:rPr>
            <w:rFonts w:ascii="Times New Roman" w:eastAsiaTheme="minorEastAsia" w:hAnsi="Times New Roman"/>
            <w:noProof/>
            <w:snapToGrid/>
            <w:sz w:val="24"/>
            <w:szCs w:val="24"/>
          </w:rPr>
          <w:tab/>
        </w:r>
        <w:r w:rsidRPr="000B672D">
          <w:rPr>
            <w:rStyle w:val="Hyperlink"/>
            <w:rFonts w:ascii="Times New Roman" w:hAnsi="Times New Roman"/>
            <w:noProof/>
            <w:sz w:val="24"/>
            <w:szCs w:val="24"/>
          </w:rPr>
          <w:t>Tangible and Quantifiable Benefit</w:t>
        </w:r>
        <w:r w:rsidRPr="000B672D">
          <w:rPr>
            <w:rFonts w:ascii="Times New Roman" w:hAnsi="Times New Roman"/>
            <w:noProof/>
            <w:webHidden/>
            <w:sz w:val="24"/>
            <w:szCs w:val="24"/>
          </w:rPr>
          <w:tab/>
        </w:r>
        <w:r w:rsidRPr="000B672D">
          <w:rPr>
            <w:rFonts w:ascii="Times New Roman" w:hAnsi="Times New Roman"/>
            <w:noProof/>
            <w:webHidden/>
            <w:sz w:val="24"/>
            <w:szCs w:val="24"/>
          </w:rPr>
          <w:fldChar w:fldCharType="begin"/>
        </w:r>
        <w:r w:rsidRPr="000B672D">
          <w:rPr>
            <w:rFonts w:ascii="Times New Roman" w:hAnsi="Times New Roman"/>
            <w:noProof/>
            <w:webHidden/>
            <w:sz w:val="24"/>
            <w:szCs w:val="24"/>
          </w:rPr>
          <w:instrText xml:space="preserve"> PAGEREF _Toc2778496 \h </w:instrText>
        </w:r>
        <w:r w:rsidRPr="000B672D">
          <w:rPr>
            <w:rFonts w:ascii="Times New Roman" w:hAnsi="Times New Roman"/>
            <w:noProof/>
            <w:webHidden/>
            <w:sz w:val="24"/>
            <w:szCs w:val="24"/>
          </w:rPr>
        </w:r>
        <w:r w:rsidRPr="000B672D">
          <w:rPr>
            <w:rFonts w:ascii="Times New Roman" w:hAnsi="Times New Roman"/>
            <w:noProof/>
            <w:webHidden/>
            <w:sz w:val="24"/>
            <w:szCs w:val="24"/>
          </w:rPr>
          <w:fldChar w:fldCharType="separate"/>
        </w:r>
        <w:r w:rsidRPr="000B672D">
          <w:rPr>
            <w:rFonts w:ascii="Times New Roman" w:hAnsi="Times New Roman"/>
            <w:noProof/>
            <w:webHidden/>
            <w:sz w:val="24"/>
            <w:szCs w:val="24"/>
          </w:rPr>
          <w:t>30</w:t>
        </w:r>
        <w:r w:rsidRPr="000B672D">
          <w:rPr>
            <w:rFonts w:ascii="Times New Roman" w:hAnsi="Times New Roman"/>
            <w:noProof/>
            <w:webHidden/>
            <w:sz w:val="24"/>
            <w:szCs w:val="24"/>
          </w:rPr>
          <w:fldChar w:fldCharType="end"/>
        </w:r>
      </w:hyperlink>
    </w:p>
    <w:p w14:paraId="0A7130A9" w14:textId="77777777" w:rsidR="00413974" w:rsidRPr="000B672D" w:rsidRDefault="00413974">
      <w:pPr>
        <w:pStyle w:val="TOC3"/>
        <w:tabs>
          <w:tab w:val="left" w:pos="720"/>
          <w:tab w:val="right" w:leader="dot" w:pos="9350"/>
        </w:tabs>
        <w:rPr>
          <w:rFonts w:ascii="Times New Roman" w:eastAsiaTheme="minorEastAsia" w:hAnsi="Times New Roman"/>
          <w:noProof/>
          <w:snapToGrid/>
          <w:sz w:val="24"/>
          <w:szCs w:val="24"/>
        </w:rPr>
      </w:pPr>
      <w:hyperlink w:anchor="_Toc2778497" w:history="1">
        <w:r w:rsidRPr="000B672D">
          <w:rPr>
            <w:rStyle w:val="Hyperlink"/>
            <w:rFonts w:ascii="Times New Roman" w:hAnsi="Times New Roman"/>
            <w:noProof/>
            <w:sz w:val="24"/>
            <w:szCs w:val="24"/>
          </w:rPr>
          <w:t>6.</w:t>
        </w:r>
        <w:r w:rsidRPr="000B672D">
          <w:rPr>
            <w:rFonts w:ascii="Times New Roman" w:eastAsiaTheme="minorEastAsia" w:hAnsi="Times New Roman"/>
            <w:noProof/>
            <w:snapToGrid/>
            <w:sz w:val="24"/>
            <w:szCs w:val="24"/>
          </w:rPr>
          <w:tab/>
        </w:r>
        <w:r w:rsidRPr="000B672D">
          <w:rPr>
            <w:rStyle w:val="Hyperlink"/>
            <w:rFonts w:ascii="Times New Roman" w:hAnsi="Times New Roman"/>
            <w:noProof/>
            <w:sz w:val="24"/>
            <w:szCs w:val="24"/>
          </w:rPr>
          <w:t>Present Value Cap</w:t>
        </w:r>
        <w:r w:rsidRPr="000B672D">
          <w:rPr>
            <w:rFonts w:ascii="Times New Roman" w:hAnsi="Times New Roman"/>
            <w:noProof/>
            <w:webHidden/>
            <w:sz w:val="24"/>
            <w:szCs w:val="24"/>
          </w:rPr>
          <w:tab/>
        </w:r>
        <w:r w:rsidRPr="000B672D">
          <w:rPr>
            <w:rFonts w:ascii="Times New Roman" w:hAnsi="Times New Roman"/>
            <w:noProof/>
            <w:webHidden/>
            <w:sz w:val="24"/>
            <w:szCs w:val="24"/>
          </w:rPr>
          <w:fldChar w:fldCharType="begin"/>
        </w:r>
        <w:r w:rsidRPr="000B672D">
          <w:rPr>
            <w:rFonts w:ascii="Times New Roman" w:hAnsi="Times New Roman"/>
            <w:noProof/>
            <w:webHidden/>
            <w:sz w:val="24"/>
            <w:szCs w:val="24"/>
          </w:rPr>
          <w:instrText xml:space="preserve"> PAGEREF _Toc2778497 \h </w:instrText>
        </w:r>
        <w:r w:rsidRPr="000B672D">
          <w:rPr>
            <w:rFonts w:ascii="Times New Roman" w:hAnsi="Times New Roman"/>
            <w:noProof/>
            <w:webHidden/>
            <w:sz w:val="24"/>
            <w:szCs w:val="24"/>
          </w:rPr>
        </w:r>
        <w:r w:rsidRPr="000B672D">
          <w:rPr>
            <w:rFonts w:ascii="Times New Roman" w:hAnsi="Times New Roman"/>
            <w:noProof/>
            <w:webHidden/>
            <w:sz w:val="24"/>
            <w:szCs w:val="24"/>
          </w:rPr>
          <w:fldChar w:fldCharType="separate"/>
        </w:r>
        <w:r w:rsidRPr="000B672D">
          <w:rPr>
            <w:rFonts w:ascii="Times New Roman" w:hAnsi="Times New Roman"/>
            <w:noProof/>
            <w:webHidden/>
            <w:sz w:val="24"/>
            <w:szCs w:val="24"/>
          </w:rPr>
          <w:t>31</w:t>
        </w:r>
        <w:r w:rsidRPr="000B672D">
          <w:rPr>
            <w:rFonts w:ascii="Times New Roman" w:hAnsi="Times New Roman"/>
            <w:noProof/>
            <w:webHidden/>
            <w:sz w:val="24"/>
            <w:szCs w:val="24"/>
          </w:rPr>
          <w:fldChar w:fldCharType="end"/>
        </w:r>
      </w:hyperlink>
    </w:p>
    <w:p w14:paraId="33647213" w14:textId="77777777" w:rsidR="00413974" w:rsidRPr="000B672D" w:rsidRDefault="00413974">
      <w:pPr>
        <w:pStyle w:val="TOC3"/>
        <w:tabs>
          <w:tab w:val="left" w:pos="720"/>
          <w:tab w:val="right" w:leader="dot" w:pos="9350"/>
        </w:tabs>
        <w:rPr>
          <w:rFonts w:ascii="Times New Roman" w:eastAsiaTheme="minorEastAsia" w:hAnsi="Times New Roman"/>
          <w:noProof/>
          <w:snapToGrid/>
          <w:sz w:val="24"/>
          <w:szCs w:val="24"/>
        </w:rPr>
      </w:pPr>
      <w:hyperlink w:anchor="_Toc2778498" w:history="1">
        <w:r w:rsidRPr="000B672D">
          <w:rPr>
            <w:rStyle w:val="Hyperlink"/>
            <w:rFonts w:ascii="Times New Roman" w:hAnsi="Times New Roman"/>
            <w:noProof/>
            <w:sz w:val="24"/>
            <w:szCs w:val="24"/>
          </w:rPr>
          <w:t>7.</w:t>
        </w:r>
        <w:r w:rsidRPr="000B672D">
          <w:rPr>
            <w:rFonts w:ascii="Times New Roman" w:eastAsiaTheme="minorEastAsia" w:hAnsi="Times New Roman"/>
            <w:noProof/>
            <w:snapToGrid/>
            <w:sz w:val="24"/>
            <w:szCs w:val="24"/>
          </w:rPr>
          <w:tab/>
        </w:r>
        <w:r w:rsidRPr="000B672D">
          <w:rPr>
            <w:rStyle w:val="Hyperlink"/>
            <w:rFonts w:ascii="Times New Roman" w:hAnsi="Times New Roman"/>
            <w:noProof/>
            <w:sz w:val="24"/>
            <w:szCs w:val="24"/>
          </w:rPr>
          <w:t>Total Amount of Revenue to be Recovered</w:t>
        </w:r>
        <w:r w:rsidRPr="000B672D">
          <w:rPr>
            <w:rFonts w:ascii="Times New Roman" w:hAnsi="Times New Roman"/>
            <w:noProof/>
            <w:webHidden/>
            <w:sz w:val="24"/>
            <w:szCs w:val="24"/>
          </w:rPr>
          <w:tab/>
        </w:r>
        <w:r w:rsidRPr="000B672D">
          <w:rPr>
            <w:rFonts w:ascii="Times New Roman" w:hAnsi="Times New Roman"/>
            <w:noProof/>
            <w:webHidden/>
            <w:sz w:val="24"/>
            <w:szCs w:val="24"/>
          </w:rPr>
          <w:fldChar w:fldCharType="begin"/>
        </w:r>
        <w:r w:rsidRPr="000B672D">
          <w:rPr>
            <w:rFonts w:ascii="Times New Roman" w:hAnsi="Times New Roman"/>
            <w:noProof/>
            <w:webHidden/>
            <w:sz w:val="24"/>
            <w:szCs w:val="24"/>
          </w:rPr>
          <w:instrText xml:space="preserve"> PAGEREF _Toc2778498 \h </w:instrText>
        </w:r>
        <w:r w:rsidRPr="000B672D">
          <w:rPr>
            <w:rFonts w:ascii="Times New Roman" w:hAnsi="Times New Roman"/>
            <w:noProof/>
            <w:webHidden/>
            <w:sz w:val="24"/>
            <w:szCs w:val="24"/>
          </w:rPr>
        </w:r>
        <w:r w:rsidRPr="000B672D">
          <w:rPr>
            <w:rFonts w:ascii="Times New Roman" w:hAnsi="Times New Roman"/>
            <w:noProof/>
            <w:webHidden/>
            <w:sz w:val="24"/>
            <w:szCs w:val="24"/>
          </w:rPr>
          <w:fldChar w:fldCharType="separate"/>
        </w:r>
        <w:r w:rsidRPr="000B672D">
          <w:rPr>
            <w:rFonts w:ascii="Times New Roman" w:hAnsi="Times New Roman"/>
            <w:noProof/>
            <w:webHidden/>
            <w:sz w:val="24"/>
            <w:szCs w:val="24"/>
          </w:rPr>
          <w:t>31</w:t>
        </w:r>
        <w:r w:rsidRPr="000B672D">
          <w:rPr>
            <w:rFonts w:ascii="Times New Roman" w:hAnsi="Times New Roman"/>
            <w:noProof/>
            <w:webHidden/>
            <w:sz w:val="24"/>
            <w:szCs w:val="24"/>
          </w:rPr>
          <w:fldChar w:fldCharType="end"/>
        </w:r>
      </w:hyperlink>
    </w:p>
    <w:p w14:paraId="2F7922F6" w14:textId="77777777" w:rsidR="00413974" w:rsidRPr="000B672D" w:rsidRDefault="00413974">
      <w:pPr>
        <w:pStyle w:val="TOC2"/>
        <w:tabs>
          <w:tab w:val="right" w:leader="dot" w:pos="9350"/>
        </w:tabs>
        <w:rPr>
          <w:rFonts w:ascii="Times New Roman" w:eastAsiaTheme="minorEastAsia" w:hAnsi="Times New Roman"/>
          <w:b w:val="0"/>
          <w:bCs w:val="0"/>
          <w:noProof/>
          <w:snapToGrid/>
          <w:sz w:val="24"/>
          <w:szCs w:val="24"/>
        </w:rPr>
      </w:pPr>
      <w:hyperlink w:anchor="_Toc2778499" w:history="1">
        <w:r w:rsidRPr="000B672D">
          <w:rPr>
            <w:rStyle w:val="Hyperlink"/>
            <w:rFonts w:ascii="Times New Roman" w:hAnsi="Times New Roman"/>
            <w:noProof/>
            <w:sz w:val="24"/>
            <w:szCs w:val="24"/>
          </w:rPr>
          <w:t>C. Structure of the Proposed Securitization</w:t>
        </w:r>
        <w:r w:rsidRPr="000B672D">
          <w:rPr>
            <w:rFonts w:ascii="Times New Roman" w:hAnsi="Times New Roman"/>
            <w:noProof/>
            <w:webHidden/>
            <w:sz w:val="24"/>
            <w:szCs w:val="24"/>
          </w:rPr>
          <w:tab/>
        </w:r>
        <w:r w:rsidRPr="000B672D">
          <w:rPr>
            <w:rFonts w:ascii="Times New Roman" w:hAnsi="Times New Roman"/>
            <w:noProof/>
            <w:webHidden/>
            <w:sz w:val="24"/>
            <w:szCs w:val="24"/>
          </w:rPr>
          <w:fldChar w:fldCharType="begin"/>
        </w:r>
        <w:r w:rsidRPr="000B672D">
          <w:rPr>
            <w:rFonts w:ascii="Times New Roman" w:hAnsi="Times New Roman"/>
            <w:noProof/>
            <w:webHidden/>
            <w:sz w:val="24"/>
            <w:szCs w:val="24"/>
          </w:rPr>
          <w:instrText xml:space="preserve"> PAGEREF _Toc2778499 \h </w:instrText>
        </w:r>
        <w:r w:rsidRPr="000B672D">
          <w:rPr>
            <w:rFonts w:ascii="Times New Roman" w:hAnsi="Times New Roman"/>
            <w:noProof/>
            <w:webHidden/>
            <w:sz w:val="24"/>
            <w:szCs w:val="24"/>
          </w:rPr>
        </w:r>
        <w:r w:rsidRPr="000B672D">
          <w:rPr>
            <w:rFonts w:ascii="Times New Roman" w:hAnsi="Times New Roman"/>
            <w:noProof/>
            <w:webHidden/>
            <w:sz w:val="24"/>
            <w:szCs w:val="24"/>
          </w:rPr>
          <w:fldChar w:fldCharType="separate"/>
        </w:r>
        <w:r w:rsidRPr="000B672D">
          <w:rPr>
            <w:rFonts w:ascii="Times New Roman" w:hAnsi="Times New Roman"/>
            <w:noProof/>
            <w:webHidden/>
            <w:sz w:val="24"/>
            <w:szCs w:val="24"/>
          </w:rPr>
          <w:t>32</w:t>
        </w:r>
        <w:r w:rsidRPr="000B672D">
          <w:rPr>
            <w:rFonts w:ascii="Times New Roman" w:hAnsi="Times New Roman"/>
            <w:noProof/>
            <w:webHidden/>
            <w:sz w:val="24"/>
            <w:szCs w:val="24"/>
          </w:rPr>
          <w:fldChar w:fldCharType="end"/>
        </w:r>
      </w:hyperlink>
    </w:p>
    <w:p w14:paraId="553F0BF6" w14:textId="77777777" w:rsidR="00413974" w:rsidRPr="000B672D" w:rsidRDefault="00413974">
      <w:pPr>
        <w:pStyle w:val="TOC3"/>
        <w:tabs>
          <w:tab w:val="left" w:pos="720"/>
          <w:tab w:val="right" w:leader="dot" w:pos="9350"/>
        </w:tabs>
        <w:rPr>
          <w:rFonts w:ascii="Times New Roman" w:eastAsiaTheme="minorEastAsia" w:hAnsi="Times New Roman"/>
          <w:noProof/>
          <w:snapToGrid/>
          <w:sz w:val="24"/>
          <w:szCs w:val="24"/>
        </w:rPr>
      </w:pPr>
      <w:hyperlink w:anchor="_Toc2778500" w:history="1">
        <w:r w:rsidRPr="000B672D">
          <w:rPr>
            <w:rStyle w:val="Hyperlink"/>
            <w:rFonts w:ascii="Times New Roman" w:hAnsi="Times New Roman"/>
            <w:noProof/>
            <w:sz w:val="24"/>
            <w:szCs w:val="24"/>
          </w:rPr>
          <w:t>1.</w:t>
        </w:r>
        <w:r w:rsidRPr="000B672D">
          <w:rPr>
            <w:rFonts w:ascii="Times New Roman" w:eastAsiaTheme="minorEastAsia" w:hAnsi="Times New Roman"/>
            <w:noProof/>
            <w:snapToGrid/>
            <w:sz w:val="24"/>
            <w:szCs w:val="24"/>
          </w:rPr>
          <w:tab/>
        </w:r>
        <w:r w:rsidRPr="000B672D">
          <w:rPr>
            <w:rStyle w:val="Hyperlink"/>
            <w:rFonts w:ascii="Times New Roman" w:hAnsi="Times New Roman"/>
            <w:noProof/>
            <w:sz w:val="24"/>
            <w:szCs w:val="24"/>
          </w:rPr>
          <w:t>BondCo</w:t>
        </w:r>
        <w:r w:rsidRPr="000B672D">
          <w:rPr>
            <w:rFonts w:ascii="Times New Roman" w:hAnsi="Times New Roman"/>
            <w:noProof/>
            <w:webHidden/>
            <w:sz w:val="24"/>
            <w:szCs w:val="24"/>
          </w:rPr>
          <w:tab/>
        </w:r>
        <w:r w:rsidRPr="000B672D">
          <w:rPr>
            <w:rFonts w:ascii="Times New Roman" w:hAnsi="Times New Roman"/>
            <w:noProof/>
            <w:webHidden/>
            <w:sz w:val="24"/>
            <w:szCs w:val="24"/>
          </w:rPr>
          <w:fldChar w:fldCharType="begin"/>
        </w:r>
        <w:r w:rsidRPr="000B672D">
          <w:rPr>
            <w:rFonts w:ascii="Times New Roman" w:hAnsi="Times New Roman"/>
            <w:noProof/>
            <w:webHidden/>
            <w:sz w:val="24"/>
            <w:szCs w:val="24"/>
          </w:rPr>
          <w:instrText xml:space="preserve"> PAGEREF _Toc2778500 \h </w:instrText>
        </w:r>
        <w:r w:rsidRPr="000B672D">
          <w:rPr>
            <w:rFonts w:ascii="Times New Roman" w:hAnsi="Times New Roman"/>
            <w:noProof/>
            <w:webHidden/>
            <w:sz w:val="24"/>
            <w:szCs w:val="24"/>
          </w:rPr>
        </w:r>
        <w:r w:rsidRPr="000B672D">
          <w:rPr>
            <w:rFonts w:ascii="Times New Roman" w:hAnsi="Times New Roman"/>
            <w:noProof/>
            <w:webHidden/>
            <w:sz w:val="24"/>
            <w:szCs w:val="24"/>
          </w:rPr>
          <w:fldChar w:fldCharType="separate"/>
        </w:r>
        <w:r w:rsidRPr="000B672D">
          <w:rPr>
            <w:rFonts w:ascii="Times New Roman" w:hAnsi="Times New Roman"/>
            <w:noProof/>
            <w:webHidden/>
            <w:sz w:val="24"/>
            <w:szCs w:val="24"/>
          </w:rPr>
          <w:t>32</w:t>
        </w:r>
        <w:r w:rsidRPr="000B672D">
          <w:rPr>
            <w:rFonts w:ascii="Times New Roman" w:hAnsi="Times New Roman"/>
            <w:noProof/>
            <w:webHidden/>
            <w:sz w:val="24"/>
            <w:szCs w:val="24"/>
          </w:rPr>
          <w:fldChar w:fldCharType="end"/>
        </w:r>
      </w:hyperlink>
    </w:p>
    <w:p w14:paraId="6EBAB8FA" w14:textId="77777777" w:rsidR="00413974" w:rsidRPr="000B672D" w:rsidRDefault="00413974">
      <w:pPr>
        <w:pStyle w:val="TOC3"/>
        <w:tabs>
          <w:tab w:val="left" w:pos="720"/>
          <w:tab w:val="right" w:leader="dot" w:pos="9350"/>
        </w:tabs>
        <w:rPr>
          <w:rFonts w:ascii="Times New Roman" w:eastAsiaTheme="minorEastAsia" w:hAnsi="Times New Roman"/>
          <w:noProof/>
          <w:snapToGrid/>
          <w:sz w:val="24"/>
          <w:szCs w:val="24"/>
        </w:rPr>
      </w:pPr>
      <w:hyperlink w:anchor="_Toc2778501" w:history="1">
        <w:r w:rsidRPr="000B672D">
          <w:rPr>
            <w:rStyle w:val="Hyperlink"/>
            <w:rFonts w:ascii="Times New Roman" w:hAnsi="Times New Roman"/>
            <w:noProof/>
            <w:sz w:val="24"/>
            <w:szCs w:val="24"/>
          </w:rPr>
          <w:t>2.</w:t>
        </w:r>
        <w:r w:rsidRPr="000B672D">
          <w:rPr>
            <w:rFonts w:ascii="Times New Roman" w:eastAsiaTheme="minorEastAsia" w:hAnsi="Times New Roman"/>
            <w:noProof/>
            <w:snapToGrid/>
            <w:sz w:val="24"/>
            <w:szCs w:val="24"/>
          </w:rPr>
          <w:tab/>
        </w:r>
        <w:r w:rsidRPr="000B672D">
          <w:rPr>
            <w:rStyle w:val="Hyperlink"/>
            <w:rFonts w:ascii="Times New Roman" w:hAnsi="Times New Roman"/>
            <w:noProof/>
            <w:sz w:val="24"/>
            <w:szCs w:val="24"/>
          </w:rPr>
          <w:t>Credit Enhancement and Arrangements to Enhance Marketability</w:t>
        </w:r>
        <w:r w:rsidRPr="000B672D">
          <w:rPr>
            <w:rFonts w:ascii="Times New Roman" w:hAnsi="Times New Roman"/>
            <w:noProof/>
            <w:webHidden/>
            <w:sz w:val="24"/>
            <w:szCs w:val="24"/>
          </w:rPr>
          <w:tab/>
        </w:r>
        <w:r w:rsidRPr="000B672D">
          <w:rPr>
            <w:rFonts w:ascii="Times New Roman" w:hAnsi="Times New Roman"/>
            <w:noProof/>
            <w:webHidden/>
            <w:sz w:val="24"/>
            <w:szCs w:val="24"/>
          </w:rPr>
          <w:fldChar w:fldCharType="begin"/>
        </w:r>
        <w:r w:rsidRPr="000B672D">
          <w:rPr>
            <w:rFonts w:ascii="Times New Roman" w:hAnsi="Times New Roman"/>
            <w:noProof/>
            <w:webHidden/>
            <w:sz w:val="24"/>
            <w:szCs w:val="24"/>
          </w:rPr>
          <w:instrText xml:space="preserve"> PAGEREF _Toc2778501 \h </w:instrText>
        </w:r>
        <w:r w:rsidRPr="000B672D">
          <w:rPr>
            <w:rFonts w:ascii="Times New Roman" w:hAnsi="Times New Roman"/>
            <w:noProof/>
            <w:webHidden/>
            <w:sz w:val="24"/>
            <w:szCs w:val="24"/>
          </w:rPr>
        </w:r>
        <w:r w:rsidRPr="000B672D">
          <w:rPr>
            <w:rFonts w:ascii="Times New Roman" w:hAnsi="Times New Roman"/>
            <w:noProof/>
            <w:webHidden/>
            <w:sz w:val="24"/>
            <w:szCs w:val="24"/>
          </w:rPr>
          <w:fldChar w:fldCharType="separate"/>
        </w:r>
        <w:r w:rsidRPr="000B672D">
          <w:rPr>
            <w:rFonts w:ascii="Times New Roman" w:hAnsi="Times New Roman"/>
            <w:noProof/>
            <w:webHidden/>
            <w:sz w:val="24"/>
            <w:szCs w:val="24"/>
          </w:rPr>
          <w:t>34</w:t>
        </w:r>
        <w:r w:rsidRPr="000B672D">
          <w:rPr>
            <w:rFonts w:ascii="Times New Roman" w:hAnsi="Times New Roman"/>
            <w:noProof/>
            <w:webHidden/>
            <w:sz w:val="24"/>
            <w:szCs w:val="24"/>
          </w:rPr>
          <w:fldChar w:fldCharType="end"/>
        </w:r>
      </w:hyperlink>
    </w:p>
    <w:p w14:paraId="0C573C25" w14:textId="77777777" w:rsidR="00413974" w:rsidRPr="000B672D" w:rsidRDefault="00413974">
      <w:pPr>
        <w:pStyle w:val="TOC3"/>
        <w:tabs>
          <w:tab w:val="left" w:pos="720"/>
          <w:tab w:val="right" w:leader="dot" w:pos="9350"/>
        </w:tabs>
        <w:rPr>
          <w:rFonts w:ascii="Times New Roman" w:eastAsiaTheme="minorEastAsia" w:hAnsi="Times New Roman"/>
          <w:noProof/>
          <w:snapToGrid/>
          <w:sz w:val="24"/>
          <w:szCs w:val="24"/>
        </w:rPr>
      </w:pPr>
      <w:hyperlink w:anchor="_Toc2778502" w:history="1">
        <w:r w:rsidRPr="000B672D">
          <w:rPr>
            <w:rStyle w:val="Hyperlink"/>
            <w:rFonts w:ascii="Times New Roman" w:hAnsi="Times New Roman"/>
            <w:noProof/>
            <w:sz w:val="24"/>
            <w:szCs w:val="24"/>
          </w:rPr>
          <w:t>3.</w:t>
        </w:r>
        <w:r w:rsidRPr="000B672D">
          <w:rPr>
            <w:rFonts w:ascii="Times New Roman" w:eastAsiaTheme="minorEastAsia" w:hAnsi="Times New Roman"/>
            <w:noProof/>
            <w:snapToGrid/>
            <w:sz w:val="24"/>
            <w:szCs w:val="24"/>
          </w:rPr>
          <w:tab/>
        </w:r>
        <w:r w:rsidRPr="000B672D">
          <w:rPr>
            <w:rStyle w:val="Hyperlink"/>
            <w:rFonts w:ascii="Times New Roman" w:hAnsi="Times New Roman"/>
            <w:noProof/>
            <w:sz w:val="24"/>
            <w:szCs w:val="24"/>
          </w:rPr>
          <w:t>Transition Property</w:t>
        </w:r>
        <w:r w:rsidRPr="000B672D">
          <w:rPr>
            <w:rFonts w:ascii="Times New Roman" w:hAnsi="Times New Roman"/>
            <w:noProof/>
            <w:webHidden/>
            <w:sz w:val="24"/>
            <w:szCs w:val="24"/>
          </w:rPr>
          <w:tab/>
        </w:r>
        <w:r w:rsidRPr="000B672D">
          <w:rPr>
            <w:rFonts w:ascii="Times New Roman" w:hAnsi="Times New Roman"/>
            <w:noProof/>
            <w:webHidden/>
            <w:sz w:val="24"/>
            <w:szCs w:val="24"/>
          </w:rPr>
          <w:fldChar w:fldCharType="begin"/>
        </w:r>
        <w:r w:rsidRPr="000B672D">
          <w:rPr>
            <w:rFonts w:ascii="Times New Roman" w:hAnsi="Times New Roman"/>
            <w:noProof/>
            <w:webHidden/>
            <w:sz w:val="24"/>
            <w:szCs w:val="24"/>
          </w:rPr>
          <w:instrText xml:space="preserve"> PAGEREF _Toc2778502 \h </w:instrText>
        </w:r>
        <w:r w:rsidRPr="000B672D">
          <w:rPr>
            <w:rFonts w:ascii="Times New Roman" w:hAnsi="Times New Roman"/>
            <w:noProof/>
            <w:webHidden/>
            <w:sz w:val="24"/>
            <w:szCs w:val="24"/>
          </w:rPr>
        </w:r>
        <w:r w:rsidRPr="000B672D">
          <w:rPr>
            <w:rFonts w:ascii="Times New Roman" w:hAnsi="Times New Roman"/>
            <w:noProof/>
            <w:webHidden/>
            <w:sz w:val="24"/>
            <w:szCs w:val="24"/>
          </w:rPr>
          <w:fldChar w:fldCharType="separate"/>
        </w:r>
        <w:r w:rsidRPr="000B672D">
          <w:rPr>
            <w:rFonts w:ascii="Times New Roman" w:hAnsi="Times New Roman"/>
            <w:noProof/>
            <w:webHidden/>
            <w:sz w:val="24"/>
            <w:szCs w:val="24"/>
          </w:rPr>
          <w:t>35</w:t>
        </w:r>
        <w:r w:rsidRPr="000B672D">
          <w:rPr>
            <w:rFonts w:ascii="Times New Roman" w:hAnsi="Times New Roman"/>
            <w:noProof/>
            <w:webHidden/>
            <w:sz w:val="24"/>
            <w:szCs w:val="24"/>
          </w:rPr>
          <w:fldChar w:fldCharType="end"/>
        </w:r>
      </w:hyperlink>
    </w:p>
    <w:p w14:paraId="09AB0B85" w14:textId="77777777" w:rsidR="00413974" w:rsidRPr="000B672D" w:rsidRDefault="00413974">
      <w:pPr>
        <w:pStyle w:val="TOC3"/>
        <w:tabs>
          <w:tab w:val="left" w:pos="720"/>
          <w:tab w:val="right" w:leader="dot" w:pos="9350"/>
        </w:tabs>
        <w:rPr>
          <w:rFonts w:ascii="Times New Roman" w:eastAsiaTheme="minorEastAsia" w:hAnsi="Times New Roman"/>
          <w:noProof/>
          <w:snapToGrid/>
          <w:sz w:val="24"/>
          <w:szCs w:val="24"/>
        </w:rPr>
      </w:pPr>
      <w:hyperlink w:anchor="_Toc2778503" w:history="1">
        <w:r w:rsidRPr="000B672D">
          <w:rPr>
            <w:rStyle w:val="Hyperlink"/>
            <w:rFonts w:ascii="Times New Roman" w:hAnsi="Times New Roman"/>
            <w:noProof/>
            <w:sz w:val="24"/>
            <w:szCs w:val="24"/>
          </w:rPr>
          <w:t>4.</w:t>
        </w:r>
        <w:r w:rsidRPr="000B672D">
          <w:rPr>
            <w:rFonts w:ascii="Times New Roman" w:eastAsiaTheme="minorEastAsia" w:hAnsi="Times New Roman"/>
            <w:noProof/>
            <w:snapToGrid/>
            <w:sz w:val="24"/>
            <w:szCs w:val="24"/>
          </w:rPr>
          <w:tab/>
        </w:r>
        <w:r w:rsidRPr="000B672D">
          <w:rPr>
            <w:rStyle w:val="Hyperlink"/>
            <w:rFonts w:ascii="Times New Roman" w:hAnsi="Times New Roman"/>
            <w:noProof/>
            <w:sz w:val="24"/>
            <w:szCs w:val="24"/>
          </w:rPr>
          <w:t>Servicer and the Servicing Agreement</w:t>
        </w:r>
        <w:r w:rsidRPr="000B672D">
          <w:rPr>
            <w:rFonts w:ascii="Times New Roman" w:hAnsi="Times New Roman"/>
            <w:noProof/>
            <w:webHidden/>
            <w:sz w:val="24"/>
            <w:szCs w:val="24"/>
          </w:rPr>
          <w:tab/>
        </w:r>
        <w:r w:rsidRPr="000B672D">
          <w:rPr>
            <w:rFonts w:ascii="Times New Roman" w:hAnsi="Times New Roman"/>
            <w:noProof/>
            <w:webHidden/>
            <w:sz w:val="24"/>
            <w:szCs w:val="24"/>
          </w:rPr>
          <w:fldChar w:fldCharType="begin"/>
        </w:r>
        <w:r w:rsidRPr="000B672D">
          <w:rPr>
            <w:rFonts w:ascii="Times New Roman" w:hAnsi="Times New Roman"/>
            <w:noProof/>
            <w:webHidden/>
            <w:sz w:val="24"/>
            <w:szCs w:val="24"/>
          </w:rPr>
          <w:instrText xml:space="preserve"> PAGEREF _Toc2778503 \h </w:instrText>
        </w:r>
        <w:r w:rsidRPr="000B672D">
          <w:rPr>
            <w:rFonts w:ascii="Times New Roman" w:hAnsi="Times New Roman"/>
            <w:noProof/>
            <w:webHidden/>
            <w:sz w:val="24"/>
            <w:szCs w:val="24"/>
          </w:rPr>
        </w:r>
        <w:r w:rsidRPr="000B672D">
          <w:rPr>
            <w:rFonts w:ascii="Times New Roman" w:hAnsi="Times New Roman"/>
            <w:noProof/>
            <w:webHidden/>
            <w:sz w:val="24"/>
            <w:szCs w:val="24"/>
          </w:rPr>
          <w:fldChar w:fldCharType="separate"/>
        </w:r>
        <w:r w:rsidRPr="000B672D">
          <w:rPr>
            <w:rFonts w:ascii="Times New Roman" w:hAnsi="Times New Roman"/>
            <w:noProof/>
            <w:webHidden/>
            <w:sz w:val="24"/>
            <w:szCs w:val="24"/>
          </w:rPr>
          <w:t>36</w:t>
        </w:r>
        <w:r w:rsidRPr="000B672D">
          <w:rPr>
            <w:rFonts w:ascii="Times New Roman" w:hAnsi="Times New Roman"/>
            <w:noProof/>
            <w:webHidden/>
            <w:sz w:val="24"/>
            <w:szCs w:val="24"/>
          </w:rPr>
          <w:fldChar w:fldCharType="end"/>
        </w:r>
      </w:hyperlink>
    </w:p>
    <w:p w14:paraId="01E5AA03" w14:textId="77777777" w:rsidR="00413974" w:rsidRPr="000B672D" w:rsidRDefault="00413974">
      <w:pPr>
        <w:pStyle w:val="TOC3"/>
        <w:tabs>
          <w:tab w:val="left" w:pos="720"/>
          <w:tab w:val="right" w:leader="dot" w:pos="9350"/>
        </w:tabs>
        <w:rPr>
          <w:rFonts w:ascii="Times New Roman" w:eastAsiaTheme="minorEastAsia" w:hAnsi="Times New Roman"/>
          <w:noProof/>
          <w:snapToGrid/>
          <w:sz w:val="24"/>
          <w:szCs w:val="24"/>
        </w:rPr>
      </w:pPr>
      <w:hyperlink w:anchor="_Toc2778504" w:history="1">
        <w:r w:rsidRPr="000B672D">
          <w:rPr>
            <w:rStyle w:val="Hyperlink"/>
            <w:rFonts w:ascii="Times New Roman" w:hAnsi="Times New Roman"/>
            <w:noProof/>
            <w:sz w:val="24"/>
            <w:szCs w:val="24"/>
          </w:rPr>
          <w:t>5.</w:t>
        </w:r>
        <w:r w:rsidRPr="000B672D">
          <w:rPr>
            <w:rFonts w:ascii="Times New Roman" w:eastAsiaTheme="minorEastAsia" w:hAnsi="Times New Roman"/>
            <w:noProof/>
            <w:snapToGrid/>
            <w:sz w:val="24"/>
            <w:szCs w:val="24"/>
          </w:rPr>
          <w:tab/>
        </w:r>
        <w:r w:rsidRPr="000B672D">
          <w:rPr>
            <w:rStyle w:val="Hyperlink"/>
            <w:rFonts w:ascii="Times New Roman" w:hAnsi="Times New Roman"/>
            <w:noProof/>
            <w:sz w:val="24"/>
            <w:szCs w:val="24"/>
          </w:rPr>
          <w:t>Retail Electric Providers</w:t>
        </w:r>
        <w:r w:rsidRPr="000B672D">
          <w:rPr>
            <w:rFonts w:ascii="Times New Roman" w:hAnsi="Times New Roman"/>
            <w:noProof/>
            <w:webHidden/>
            <w:sz w:val="24"/>
            <w:szCs w:val="24"/>
          </w:rPr>
          <w:tab/>
        </w:r>
        <w:r w:rsidRPr="000B672D">
          <w:rPr>
            <w:rFonts w:ascii="Times New Roman" w:hAnsi="Times New Roman"/>
            <w:noProof/>
            <w:webHidden/>
            <w:sz w:val="24"/>
            <w:szCs w:val="24"/>
          </w:rPr>
          <w:fldChar w:fldCharType="begin"/>
        </w:r>
        <w:r w:rsidRPr="000B672D">
          <w:rPr>
            <w:rFonts w:ascii="Times New Roman" w:hAnsi="Times New Roman"/>
            <w:noProof/>
            <w:webHidden/>
            <w:sz w:val="24"/>
            <w:szCs w:val="24"/>
          </w:rPr>
          <w:instrText xml:space="preserve"> PAGEREF _Toc2778504 \h </w:instrText>
        </w:r>
        <w:r w:rsidRPr="000B672D">
          <w:rPr>
            <w:rFonts w:ascii="Times New Roman" w:hAnsi="Times New Roman"/>
            <w:noProof/>
            <w:webHidden/>
            <w:sz w:val="24"/>
            <w:szCs w:val="24"/>
          </w:rPr>
        </w:r>
        <w:r w:rsidRPr="000B672D">
          <w:rPr>
            <w:rFonts w:ascii="Times New Roman" w:hAnsi="Times New Roman"/>
            <w:noProof/>
            <w:webHidden/>
            <w:sz w:val="24"/>
            <w:szCs w:val="24"/>
          </w:rPr>
          <w:fldChar w:fldCharType="separate"/>
        </w:r>
        <w:r w:rsidRPr="000B672D">
          <w:rPr>
            <w:rFonts w:ascii="Times New Roman" w:hAnsi="Times New Roman"/>
            <w:noProof/>
            <w:webHidden/>
            <w:sz w:val="24"/>
            <w:szCs w:val="24"/>
          </w:rPr>
          <w:t>39</w:t>
        </w:r>
        <w:r w:rsidRPr="000B672D">
          <w:rPr>
            <w:rFonts w:ascii="Times New Roman" w:hAnsi="Times New Roman"/>
            <w:noProof/>
            <w:webHidden/>
            <w:sz w:val="24"/>
            <w:szCs w:val="24"/>
          </w:rPr>
          <w:fldChar w:fldCharType="end"/>
        </w:r>
      </w:hyperlink>
    </w:p>
    <w:p w14:paraId="62B7ED82" w14:textId="77777777" w:rsidR="00413974" w:rsidRPr="000B672D" w:rsidRDefault="00413974">
      <w:pPr>
        <w:pStyle w:val="TOC3"/>
        <w:tabs>
          <w:tab w:val="left" w:pos="720"/>
          <w:tab w:val="right" w:leader="dot" w:pos="9350"/>
        </w:tabs>
        <w:rPr>
          <w:rFonts w:ascii="Times New Roman" w:eastAsiaTheme="minorEastAsia" w:hAnsi="Times New Roman"/>
          <w:noProof/>
          <w:snapToGrid/>
          <w:sz w:val="24"/>
          <w:szCs w:val="24"/>
        </w:rPr>
      </w:pPr>
      <w:hyperlink w:anchor="_Toc2778505" w:history="1">
        <w:r w:rsidRPr="000B672D">
          <w:rPr>
            <w:rStyle w:val="Hyperlink"/>
            <w:rFonts w:ascii="Times New Roman" w:hAnsi="Times New Roman"/>
            <w:noProof/>
            <w:sz w:val="24"/>
            <w:szCs w:val="24"/>
          </w:rPr>
          <w:t>6.</w:t>
        </w:r>
        <w:r w:rsidRPr="000B672D">
          <w:rPr>
            <w:rFonts w:ascii="Times New Roman" w:eastAsiaTheme="minorEastAsia" w:hAnsi="Times New Roman"/>
            <w:noProof/>
            <w:snapToGrid/>
            <w:sz w:val="24"/>
            <w:szCs w:val="24"/>
          </w:rPr>
          <w:tab/>
        </w:r>
        <w:r w:rsidRPr="000B672D">
          <w:rPr>
            <w:rStyle w:val="Hyperlink"/>
            <w:rFonts w:ascii="Times New Roman" w:hAnsi="Times New Roman"/>
            <w:noProof/>
            <w:sz w:val="24"/>
            <w:szCs w:val="24"/>
          </w:rPr>
          <w:t>System Restoration Bonds</w:t>
        </w:r>
        <w:r w:rsidRPr="000B672D">
          <w:rPr>
            <w:rFonts w:ascii="Times New Roman" w:hAnsi="Times New Roman"/>
            <w:noProof/>
            <w:webHidden/>
            <w:sz w:val="24"/>
            <w:szCs w:val="24"/>
          </w:rPr>
          <w:tab/>
        </w:r>
        <w:r w:rsidRPr="000B672D">
          <w:rPr>
            <w:rFonts w:ascii="Times New Roman" w:hAnsi="Times New Roman"/>
            <w:noProof/>
            <w:webHidden/>
            <w:sz w:val="24"/>
            <w:szCs w:val="24"/>
          </w:rPr>
          <w:fldChar w:fldCharType="begin"/>
        </w:r>
        <w:r w:rsidRPr="000B672D">
          <w:rPr>
            <w:rFonts w:ascii="Times New Roman" w:hAnsi="Times New Roman"/>
            <w:noProof/>
            <w:webHidden/>
            <w:sz w:val="24"/>
            <w:szCs w:val="24"/>
          </w:rPr>
          <w:instrText xml:space="preserve"> PAGEREF _Toc2778505 \h </w:instrText>
        </w:r>
        <w:r w:rsidRPr="000B672D">
          <w:rPr>
            <w:rFonts w:ascii="Times New Roman" w:hAnsi="Times New Roman"/>
            <w:noProof/>
            <w:webHidden/>
            <w:sz w:val="24"/>
            <w:szCs w:val="24"/>
          </w:rPr>
        </w:r>
        <w:r w:rsidRPr="000B672D">
          <w:rPr>
            <w:rFonts w:ascii="Times New Roman" w:hAnsi="Times New Roman"/>
            <w:noProof/>
            <w:webHidden/>
            <w:sz w:val="24"/>
            <w:szCs w:val="24"/>
          </w:rPr>
          <w:fldChar w:fldCharType="separate"/>
        </w:r>
        <w:r w:rsidRPr="000B672D">
          <w:rPr>
            <w:rFonts w:ascii="Times New Roman" w:hAnsi="Times New Roman"/>
            <w:noProof/>
            <w:webHidden/>
            <w:sz w:val="24"/>
            <w:szCs w:val="24"/>
          </w:rPr>
          <w:t>46</w:t>
        </w:r>
        <w:r w:rsidRPr="000B672D">
          <w:rPr>
            <w:rFonts w:ascii="Times New Roman" w:hAnsi="Times New Roman"/>
            <w:noProof/>
            <w:webHidden/>
            <w:sz w:val="24"/>
            <w:szCs w:val="24"/>
          </w:rPr>
          <w:fldChar w:fldCharType="end"/>
        </w:r>
      </w:hyperlink>
    </w:p>
    <w:p w14:paraId="451F8BD1" w14:textId="77777777" w:rsidR="00413974" w:rsidRPr="000B672D" w:rsidRDefault="00413974">
      <w:pPr>
        <w:pStyle w:val="TOC3"/>
        <w:tabs>
          <w:tab w:val="left" w:pos="720"/>
          <w:tab w:val="right" w:leader="dot" w:pos="9350"/>
        </w:tabs>
        <w:rPr>
          <w:rFonts w:ascii="Times New Roman" w:eastAsiaTheme="minorEastAsia" w:hAnsi="Times New Roman"/>
          <w:noProof/>
          <w:snapToGrid/>
          <w:sz w:val="24"/>
          <w:szCs w:val="24"/>
        </w:rPr>
      </w:pPr>
      <w:hyperlink w:anchor="_Toc2778506" w:history="1">
        <w:r w:rsidRPr="000B672D">
          <w:rPr>
            <w:rStyle w:val="Hyperlink"/>
            <w:rFonts w:ascii="Times New Roman" w:hAnsi="Times New Roman"/>
            <w:noProof/>
            <w:sz w:val="24"/>
            <w:szCs w:val="24"/>
          </w:rPr>
          <w:t>7.</w:t>
        </w:r>
        <w:r w:rsidRPr="000B672D">
          <w:rPr>
            <w:rFonts w:ascii="Times New Roman" w:eastAsiaTheme="minorEastAsia" w:hAnsi="Times New Roman"/>
            <w:noProof/>
            <w:snapToGrid/>
            <w:sz w:val="24"/>
            <w:szCs w:val="24"/>
          </w:rPr>
          <w:tab/>
        </w:r>
        <w:r w:rsidRPr="000B672D">
          <w:rPr>
            <w:rStyle w:val="Hyperlink"/>
            <w:rFonts w:ascii="Times New Roman" w:hAnsi="Times New Roman"/>
            <w:noProof/>
            <w:sz w:val="24"/>
            <w:szCs w:val="24"/>
          </w:rPr>
          <w:t>Security for System Restoration Bonds</w:t>
        </w:r>
        <w:r w:rsidRPr="000B672D">
          <w:rPr>
            <w:rFonts w:ascii="Times New Roman" w:hAnsi="Times New Roman"/>
            <w:noProof/>
            <w:webHidden/>
            <w:sz w:val="24"/>
            <w:szCs w:val="24"/>
          </w:rPr>
          <w:tab/>
        </w:r>
        <w:r w:rsidRPr="000B672D">
          <w:rPr>
            <w:rFonts w:ascii="Times New Roman" w:hAnsi="Times New Roman"/>
            <w:noProof/>
            <w:webHidden/>
            <w:sz w:val="24"/>
            <w:szCs w:val="24"/>
          </w:rPr>
          <w:fldChar w:fldCharType="begin"/>
        </w:r>
        <w:r w:rsidRPr="000B672D">
          <w:rPr>
            <w:rFonts w:ascii="Times New Roman" w:hAnsi="Times New Roman"/>
            <w:noProof/>
            <w:webHidden/>
            <w:sz w:val="24"/>
            <w:szCs w:val="24"/>
          </w:rPr>
          <w:instrText xml:space="preserve"> PAGEREF _Toc2778506 \h </w:instrText>
        </w:r>
        <w:r w:rsidRPr="000B672D">
          <w:rPr>
            <w:rFonts w:ascii="Times New Roman" w:hAnsi="Times New Roman"/>
            <w:noProof/>
            <w:webHidden/>
            <w:sz w:val="24"/>
            <w:szCs w:val="24"/>
          </w:rPr>
        </w:r>
        <w:r w:rsidRPr="000B672D">
          <w:rPr>
            <w:rFonts w:ascii="Times New Roman" w:hAnsi="Times New Roman"/>
            <w:noProof/>
            <w:webHidden/>
            <w:sz w:val="24"/>
            <w:szCs w:val="24"/>
          </w:rPr>
          <w:fldChar w:fldCharType="separate"/>
        </w:r>
        <w:r w:rsidRPr="000B672D">
          <w:rPr>
            <w:rFonts w:ascii="Times New Roman" w:hAnsi="Times New Roman"/>
            <w:noProof/>
            <w:webHidden/>
            <w:sz w:val="24"/>
            <w:szCs w:val="24"/>
          </w:rPr>
          <w:t>46</w:t>
        </w:r>
        <w:r w:rsidRPr="000B672D">
          <w:rPr>
            <w:rFonts w:ascii="Times New Roman" w:hAnsi="Times New Roman"/>
            <w:noProof/>
            <w:webHidden/>
            <w:sz w:val="24"/>
            <w:szCs w:val="24"/>
          </w:rPr>
          <w:fldChar w:fldCharType="end"/>
        </w:r>
      </w:hyperlink>
    </w:p>
    <w:p w14:paraId="66439782" w14:textId="77777777" w:rsidR="00413974" w:rsidRPr="000B672D" w:rsidRDefault="00413974">
      <w:pPr>
        <w:pStyle w:val="TOC3"/>
        <w:tabs>
          <w:tab w:val="left" w:pos="720"/>
          <w:tab w:val="right" w:leader="dot" w:pos="9350"/>
        </w:tabs>
        <w:rPr>
          <w:rFonts w:ascii="Times New Roman" w:eastAsiaTheme="minorEastAsia" w:hAnsi="Times New Roman"/>
          <w:noProof/>
          <w:snapToGrid/>
          <w:sz w:val="24"/>
          <w:szCs w:val="24"/>
        </w:rPr>
      </w:pPr>
      <w:hyperlink w:anchor="_Toc2778507" w:history="1">
        <w:r w:rsidRPr="000B672D">
          <w:rPr>
            <w:rStyle w:val="Hyperlink"/>
            <w:rFonts w:ascii="Times New Roman" w:hAnsi="Times New Roman"/>
            <w:noProof/>
            <w:sz w:val="24"/>
            <w:szCs w:val="24"/>
          </w:rPr>
          <w:t>8.</w:t>
        </w:r>
        <w:r w:rsidRPr="000B672D">
          <w:rPr>
            <w:rFonts w:ascii="Times New Roman" w:eastAsiaTheme="minorEastAsia" w:hAnsi="Times New Roman"/>
            <w:noProof/>
            <w:snapToGrid/>
            <w:sz w:val="24"/>
            <w:szCs w:val="24"/>
          </w:rPr>
          <w:tab/>
        </w:r>
        <w:r w:rsidRPr="000B672D">
          <w:rPr>
            <w:rStyle w:val="Hyperlink"/>
            <w:rFonts w:ascii="Times New Roman" w:hAnsi="Times New Roman"/>
            <w:noProof/>
            <w:sz w:val="24"/>
            <w:szCs w:val="24"/>
          </w:rPr>
          <w:t>General Provisions</w:t>
        </w:r>
        <w:r w:rsidRPr="000B672D">
          <w:rPr>
            <w:rFonts w:ascii="Times New Roman" w:hAnsi="Times New Roman"/>
            <w:noProof/>
            <w:webHidden/>
            <w:sz w:val="24"/>
            <w:szCs w:val="24"/>
          </w:rPr>
          <w:tab/>
        </w:r>
        <w:r w:rsidRPr="000B672D">
          <w:rPr>
            <w:rFonts w:ascii="Times New Roman" w:hAnsi="Times New Roman"/>
            <w:noProof/>
            <w:webHidden/>
            <w:sz w:val="24"/>
            <w:szCs w:val="24"/>
          </w:rPr>
          <w:fldChar w:fldCharType="begin"/>
        </w:r>
        <w:r w:rsidRPr="000B672D">
          <w:rPr>
            <w:rFonts w:ascii="Times New Roman" w:hAnsi="Times New Roman"/>
            <w:noProof/>
            <w:webHidden/>
            <w:sz w:val="24"/>
            <w:szCs w:val="24"/>
          </w:rPr>
          <w:instrText xml:space="preserve"> PAGEREF _Toc2778507 \h </w:instrText>
        </w:r>
        <w:r w:rsidRPr="000B672D">
          <w:rPr>
            <w:rFonts w:ascii="Times New Roman" w:hAnsi="Times New Roman"/>
            <w:noProof/>
            <w:webHidden/>
            <w:sz w:val="24"/>
            <w:szCs w:val="24"/>
          </w:rPr>
        </w:r>
        <w:r w:rsidRPr="000B672D">
          <w:rPr>
            <w:rFonts w:ascii="Times New Roman" w:hAnsi="Times New Roman"/>
            <w:noProof/>
            <w:webHidden/>
            <w:sz w:val="24"/>
            <w:szCs w:val="24"/>
          </w:rPr>
          <w:fldChar w:fldCharType="separate"/>
        </w:r>
        <w:r w:rsidRPr="000B672D">
          <w:rPr>
            <w:rFonts w:ascii="Times New Roman" w:hAnsi="Times New Roman"/>
            <w:noProof/>
            <w:webHidden/>
            <w:sz w:val="24"/>
            <w:szCs w:val="24"/>
          </w:rPr>
          <w:t>50</w:t>
        </w:r>
        <w:r w:rsidRPr="000B672D">
          <w:rPr>
            <w:rFonts w:ascii="Times New Roman" w:hAnsi="Times New Roman"/>
            <w:noProof/>
            <w:webHidden/>
            <w:sz w:val="24"/>
            <w:szCs w:val="24"/>
          </w:rPr>
          <w:fldChar w:fldCharType="end"/>
        </w:r>
      </w:hyperlink>
    </w:p>
    <w:p w14:paraId="4A18341D" w14:textId="77777777" w:rsidR="00413974" w:rsidRPr="000B672D" w:rsidRDefault="00413974">
      <w:pPr>
        <w:pStyle w:val="TOC3"/>
        <w:tabs>
          <w:tab w:val="left" w:pos="720"/>
          <w:tab w:val="right" w:leader="dot" w:pos="9350"/>
        </w:tabs>
        <w:rPr>
          <w:rFonts w:ascii="Times New Roman" w:eastAsiaTheme="minorEastAsia" w:hAnsi="Times New Roman"/>
          <w:noProof/>
          <w:snapToGrid/>
          <w:sz w:val="24"/>
          <w:szCs w:val="24"/>
        </w:rPr>
      </w:pPr>
      <w:hyperlink w:anchor="_Toc2778508" w:history="1">
        <w:r w:rsidRPr="000B672D">
          <w:rPr>
            <w:rStyle w:val="Hyperlink"/>
            <w:rFonts w:ascii="Times New Roman" w:hAnsi="Times New Roman"/>
            <w:noProof/>
            <w:sz w:val="24"/>
            <w:szCs w:val="24"/>
          </w:rPr>
          <w:t>9.</w:t>
        </w:r>
        <w:r w:rsidRPr="000B672D">
          <w:rPr>
            <w:rFonts w:ascii="Times New Roman" w:eastAsiaTheme="minorEastAsia" w:hAnsi="Times New Roman"/>
            <w:noProof/>
            <w:snapToGrid/>
            <w:sz w:val="24"/>
            <w:szCs w:val="24"/>
          </w:rPr>
          <w:tab/>
        </w:r>
        <w:r w:rsidRPr="000B672D">
          <w:rPr>
            <w:rStyle w:val="Hyperlink"/>
            <w:rFonts w:ascii="Times New Roman" w:hAnsi="Times New Roman"/>
            <w:noProof/>
            <w:sz w:val="24"/>
            <w:szCs w:val="24"/>
          </w:rPr>
          <w:t>System Restoration Charges—Imposition and Collection, Nonbypassability, and Self-Generation</w:t>
        </w:r>
        <w:r w:rsidRPr="000B672D">
          <w:rPr>
            <w:rFonts w:ascii="Times New Roman" w:hAnsi="Times New Roman"/>
            <w:noProof/>
            <w:webHidden/>
            <w:sz w:val="24"/>
            <w:szCs w:val="24"/>
          </w:rPr>
          <w:tab/>
        </w:r>
        <w:r w:rsidRPr="000B672D">
          <w:rPr>
            <w:rFonts w:ascii="Times New Roman" w:hAnsi="Times New Roman"/>
            <w:noProof/>
            <w:webHidden/>
            <w:sz w:val="24"/>
            <w:szCs w:val="24"/>
          </w:rPr>
          <w:fldChar w:fldCharType="begin"/>
        </w:r>
        <w:r w:rsidRPr="000B672D">
          <w:rPr>
            <w:rFonts w:ascii="Times New Roman" w:hAnsi="Times New Roman"/>
            <w:noProof/>
            <w:webHidden/>
            <w:sz w:val="24"/>
            <w:szCs w:val="24"/>
          </w:rPr>
          <w:instrText xml:space="preserve"> PAGEREF _Toc2778508 \h </w:instrText>
        </w:r>
        <w:r w:rsidRPr="000B672D">
          <w:rPr>
            <w:rFonts w:ascii="Times New Roman" w:hAnsi="Times New Roman"/>
            <w:noProof/>
            <w:webHidden/>
            <w:sz w:val="24"/>
            <w:szCs w:val="24"/>
          </w:rPr>
        </w:r>
        <w:r w:rsidRPr="000B672D">
          <w:rPr>
            <w:rFonts w:ascii="Times New Roman" w:hAnsi="Times New Roman"/>
            <w:noProof/>
            <w:webHidden/>
            <w:sz w:val="24"/>
            <w:szCs w:val="24"/>
          </w:rPr>
          <w:fldChar w:fldCharType="separate"/>
        </w:r>
        <w:r w:rsidRPr="000B672D">
          <w:rPr>
            <w:rFonts w:ascii="Times New Roman" w:hAnsi="Times New Roman"/>
            <w:noProof/>
            <w:webHidden/>
            <w:sz w:val="24"/>
            <w:szCs w:val="24"/>
          </w:rPr>
          <w:t>51</w:t>
        </w:r>
        <w:r w:rsidRPr="000B672D">
          <w:rPr>
            <w:rFonts w:ascii="Times New Roman" w:hAnsi="Times New Roman"/>
            <w:noProof/>
            <w:webHidden/>
            <w:sz w:val="24"/>
            <w:szCs w:val="24"/>
          </w:rPr>
          <w:fldChar w:fldCharType="end"/>
        </w:r>
      </w:hyperlink>
    </w:p>
    <w:p w14:paraId="1D9406DE" w14:textId="77777777" w:rsidR="00413974" w:rsidRPr="000B672D" w:rsidRDefault="00413974">
      <w:pPr>
        <w:pStyle w:val="TOC3"/>
        <w:tabs>
          <w:tab w:val="left" w:pos="720"/>
          <w:tab w:val="right" w:leader="dot" w:pos="9350"/>
        </w:tabs>
        <w:rPr>
          <w:rFonts w:ascii="Times New Roman" w:eastAsiaTheme="minorEastAsia" w:hAnsi="Times New Roman"/>
          <w:noProof/>
          <w:snapToGrid/>
          <w:sz w:val="24"/>
          <w:szCs w:val="24"/>
        </w:rPr>
      </w:pPr>
      <w:hyperlink w:anchor="_Toc2778509" w:history="1">
        <w:r w:rsidRPr="000B672D">
          <w:rPr>
            <w:rStyle w:val="Hyperlink"/>
            <w:rFonts w:ascii="Times New Roman" w:hAnsi="Times New Roman"/>
            <w:noProof/>
            <w:sz w:val="24"/>
            <w:szCs w:val="24"/>
          </w:rPr>
          <w:t>10.</w:t>
        </w:r>
        <w:r w:rsidRPr="000B672D">
          <w:rPr>
            <w:rFonts w:ascii="Times New Roman" w:eastAsiaTheme="minorEastAsia" w:hAnsi="Times New Roman"/>
            <w:noProof/>
            <w:snapToGrid/>
            <w:sz w:val="24"/>
            <w:szCs w:val="24"/>
          </w:rPr>
          <w:tab/>
        </w:r>
        <w:r w:rsidRPr="000B672D">
          <w:rPr>
            <w:rStyle w:val="Hyperlink"/>
            <w:rFonts w:ascii="Times New Roman" w:hAnsi="Times New Roman"/>
            <w:noProof/>
            <w:sz w:val="24"/>
            <w:szCs w:val="24"/>
          </w:rPr>
          <w:t>Allocation of Qualified Costs Among Texas Retail Customers</w:t>
        </w:r>
        <w:r w:rsidRPr="000B672D">
          <w:rPr>
            <w:rFonts w:ascii="Times New Roman" w:hAnsi="Times New Roman"/>
            <w:noProof/>
            <w:webHidden/>
            <w:sz w:val="24"/>
            <w:szCs w:val="24"/>
          </w:rPr>
          <w:tab/>
        </w:r>
        <w:r w:rsidRPr="000B672D">
          <w:rPr>
            <w:rFonts w:ascii="Times New Roman" w:hAnsi="Times New Roman"/>
            <w:noProof/>
            <w:webHidden/>
            <w:sz w:val="24"/>
            <w:szCs w:val="24"/>
          </w:rPr>
          <w:fldChar w:fldCharType="begin"/>
        </w:r>
        <w:r w:rsidRPr="000B672D">
          <w:rPr>
            <w:rFonts w:ascii="Times New Roman" w:hAnsi="Times New Roman"/>
            <w:noProof/>
            <w:webHidden/>
            <w:sz w:val="24"/>
            <w:szCs w:val="24"/>
          </w:rPr>
          <w:instrText xml:space="preserve"> PAGEREF _Toc2778509 \h </w:instrText>
        </w:r>
        <w:r w:rsidRPr="000B672D">
          <w:rPr>
            <w:rFonts w:ascii="Times New Roman" w:hAnsi="Times New Roman"/>
            <w:noProof/>
            <w:webHidden/>
            <w:sz w:val="24"/>
            <w:szCs w:val="24"/>
          </w:rPr>
        </w:r>
        <w:r w:rsidRPr="000B672D">
          <w:rPr>
            <w:rFonts w:ascii="Times New Roman" w:hAnsi="Times New Roman"/>
            <w:noProof/>
            <w:webHidden/>
            <w:sz w:val="24"/>
            <w:szCs w:val="24"/>
          </w:rPr>
          <w:fldChar w:fldCharType="separate"/>
        </w:r>
        <w:r w:rsidRPr="000B672D">
          <w:rPr>
            <w:rFonts w:ascii="Times New Roman" w:hAnsi="Times New Roman"/>
            <w:noProof/>
            <w:webHidden/>
            <w:sz w:val="24"/>
            <w:szCs w:val="24"/>
          </w:rPr>
          <w:t>53</w:t>
        </w:r>
        <w:r w:rsidRPr="000B672D">
          <w:rPr>
            <w:rFonts w:ascii="Times New Roman" w:hAnsi="Times New Roman"/>
            <w:noProof/>
            <w:webHidden/>
            <w:sz w:val="24"/>
            <w:szCs w:val="24"/>
          </w:rPr>
          <w:fldChar w:fldCharType="end"/>
        </w:r>
      </w:hyperlink>
    </w:p>
    <w:p w14:paraId="52D82D51" w14:textId="77777777" w:rsidR="00413974" w:rsidRPr="000B672D" w:rsidRDefault="00413974">
      <w:pPr>
        <w:pStyle w:val="TOC3"/>
        <w:tabs>
          <w:tab w:val="left" w:pos="720"/>
          <w:tab w:val="right" w:leader="dot" w:pos="9350"/>
        </w:tabs>
        <w:rPr>
          <w:rFonts w:ascii="Times New Roman" w:eastAsiaTheme="minorEastAsia" w:hAnsi="Times New Roman"/>
          <w:noProof/>
          <w:snapToGrid/>
          <w:sz w:val="24"/>
          <w:szCs w:val="24"/>
        </w:rPr>
      </w:pPr>
      <w:hyperlink w:anchor="_Toc2778510" w:history="1">
        <w:r w:rsidRPr="000B672D">
          <w:rPr>
            <w:rStyle w:val="Hyperlink"/>
            <w:rFonts w:ascii="Times New Roman" w:hAnsi="Times New Roman"/>
            <w:noProof/>
            <w:sz w:val="24"/>
            <w:szCs w:val="24"/>
          </w:rPr>
          <w:t>11.</w:t>
        </w:r>
        <w:r w:rsidRPr="000B672D">
          <w:rPr>
            <w:rFonts w:ascii="Times New Roman" w:eastAsiaTheme="minorEastAsia" w:hAnsi="Times New Roman"/>
            <w:noProof/>
            <w:snapToGrid/>
            <w:sz w:val="24"/>
            <w:szCs w:val="24"/>
          </w:rPr>
          <w:tab/>
        </w:r>
        <w:r w:rsidRPr="000B672D">
          <w:rPr>
            <w:rStyle w:val="Hyperlink"/>
            <w:rFonts w:ascii="Times New Roman" w:hAnsi="Times New Roman"/>
            <w:noProof/>
            <w:sz w:val="24"/>
            <w:szCs w:val="24"/>
          </w:rPr>
          <w:t>True-Up of System Restoration Charges</w:t>
        </w:r>
        <w:r w:rsidRPr="000B672D">
          <w:rPr>
            <w:rFonts w:ascii="Times New Roman" w:hAnsi="Times New Roman"/>
            <w:noProof/>
            <w:webHidden/>
            <w:sz w:val="24"/>
            <w:szCs w:val="24"/>
          </w:rPr>
          <w:tab/>
        </w:r>
        <w:r w:rsidRPr="000B672D">
          <w:rPr>
            <w:rFonts w:ascii="Times New Roman" w:hAnsi="Times New Roman"/>
            <w:noProof/>
            <w:webHidden/>
            <w:sz w:val="24"/>
            <w:szCs w:val="24"/>
          </w:rPr>
          <w:fldChar w:fldCharType="begin"/>
        </w:r>
        <w:r w:rsidRPr="000B672D">
          <w:rPr>
            <w:rFonts w:ascii="Times New Roman" w:hAnsi="Times New Roman"/>
            <w:noProof/>
            <w:webHidden/>
            <w:sz w:val="24"/>
            <w:szCs w:val="24"/>
          </w:rPr>
          <w:instrText xml:space="preserve"> PAGEREF _Toc2778510 \h </w:instrText>
        </w:r>
        <w:r w:rsidRPr="000B672D">
          <w:rPr>
            <w:rFonts w:ascii="Times New Roman" w:hAnsi="Times New Roman"/>
            <w:noProof/>
            <w:webHidden/>
            <w:sz w:val="24"/>
            <w:szCs w:val="24"/>
          </w:rPr>
        </w:r>
        <w:r w:rsidRPr="000B672D">
          <w:rPr>
            <w:rFonts w:ascii="Times New Roman" w:hAnsi="Times New Roman"/>
            <w:noProof/>
            <w:webHidden/>
            <w:sz w:val="24"/>
            <w:szCs w:val="24"/>
          </w:rPr>
          <w:fldChar w:fldCharType="separate"/>
        </w:r>
        <w:r w:rsidRPr="000B672D">
          <w:rPr>
            <w:rFonts w:ascii="Times New Roman" w:hAnsi="Times New Roman"/>
            <w:noProof/>
            <w:webHidden/>
            <w:sz w:val="24"/>
            <w:szCs w:val="24"/>
          </w:rPr>
          <w:t>54</w:t>
        </w:r>
        <w:r w:rsidRPr="000B672D">
          <w:rPr>
            <w:rFonts w:ascii="Times New Roman" w:hAnsi="Times New Roman"/>
            <w:noProof/>
            <w:webHidden/>
            <w:sz w:val="24"/>
            <w:szCs w:val="24"/>
          </w:rPr>
          <w:fldChar w:fldCharType="end"/>
        </w:r>
      </w:hyperlink>
    </w:p>
    <w:p w14:paraId="4A4F5EE2" w14:textId="77777777" w:rsidR="00413974" w:rsidRPr="000B672D" w:rsidRDefault="00413974">
      <w:pPr>
        <w:pStyle w:val="TOC3"/>
        <w:tabs>
          <w:tab w:val="left" w:pos="720"/>
          <w:tab w:val="right" w:leader="dot" w:pos="9350"/>
        </w:tabs>
        <w:rPr>
          <w:rFonts w:ascii="Times New Roman" w:eastAsiaTheme="minorEastAsia" w:hAnsi="Times New Roman"/>
          <w:noProof/>
          <w:snapToGrid/>
          <w:sz w:val="24"/>
          <w:szCs w:val="24"/>
        </w:rPr>
      </w:pPr>
      <w:hyperlink w:anchor="_Toc2778511" w:history="1">
        <w:r w:rsidRPr="000B672D">
          <w:rPr>
            <w:rStyle w:val="Hyperlink"/>
            <w:rFonts w:ascii="Times New Roman" w:hAnsi="Times New Roman"/>
            <w:noProof/>
            <w:sz w:val="24"/>
            <w:szCs w:val="24"/>
          </w:rPr>
          <w:t>12.</w:t>
        </w:r>
        <w:r w:rsidRPr="000B672D">
          <w:rPr>
            <w:rFonts w:ascii="Times New Roman" w:eastAsiaTheme="minorEastAsia" w:hAnsi="Times New Roman"/>
            <w:noProof/>
            <w:snapToGrid/>
            <w:sz w:val="24"/>
            <w:szCs w:val="24"/>
          </w:rPr>
          <w:tab/>
        </w:r>
        <w:r w:rsidRPr="000B672D">
          <w:rPr>
            <w:rStyle w:val="Hyperlink"/>
            <w:rFonts w:ascii="Times New Roman" w:hAnsi="Times New Roman"/>
            <w:noProof/>
            <w:sz w:val="24"/>
            <w:szCs w:val="24"/>
          </w:rPr>
          <w:t>Interim True-Up</w:t>
        </w:r>
        <w:r w:rsidRPr="000B672D">
          <w:rPr>
            <w:rFonts w:ascii="Times New Roman" w:hAnsi="Times New Roman"/>
            <w:noProof/>
            <w:webHidden/>
            <w:sz w:val="24"/>
            <w:szCs w:val="24"/>
          </w:rPr>
          <w:tab/>
        </w:r>
        <w:r w:rsidRPr="000B672D">
          <w:rPr>
            <w:rFonts w:ascii="Times New Roman" w:hAnsi="Times New Roman"/>
            <w:noProof/>
            <w:webHidden/>
            <w:sz w:val="24"/>
            <w:szCs w:val="24"/>
          </w:rPr>
          <w:fldChar w:fldCharType="begin"/>
        </w:r>
        <w:r w:rsidRPr="000B672D">
          <w:rPr>
            <w:rFonts w:ascii="Times New Roman" w:hAnsi="Times New Roman"/>
            <w:noProof/>
            <w:webHidden/>
            <w:sz w:val="24"/>
            <w:szCs w:val="24"/>
          </w:rPr>
          <w:instrText xml:space="preserve"> PAGEREF _Toc2778511 \h </w:instrText>
        </w:r>
        <w:r w:rsidRPr="000B672D">
          <w:rPr>
            <w:rFonts w:ascii="Times New Roman" w:hAnsi="Times New Roman"/>
            <w:noProof/>
            <w:webHidden/>
            <w:sz w:val="24"/>
            <w:szCs w:val="24"/>
          </w:rPr>
        </w:r>
        <w:r w:rsidRPr="000B672D">
          <w:rPr>
            <w:rFonts w:ascii="Times New Roman" w:hAnsi="Times New Roman"/>
            <w:noProof/>
            <w:webHidden/>
            <w:sz w:val="24"/>
            <w:szCs w:val="24"/>
          </w:rPr>
          <w:fldChar w:fldCharType="separate"/>
        </w:r>
        <w:r w:rsidRPr="000B672D">
          <w:rPr>
            <w:rFonts w:ascii="Times New Roman" w:hAnsi="Times New Roman"/>
            <w:noProof/>
            <w:webHidden/>
            <w:sz w:val="24"/>
            <w:szCs w:val="24"/>
          </w:rPr>
          <w:t>56</w:t>
        </w:r>
        <w:r w:rsidRPr="000B672D">
          <w:rPr>
            <w:rFonts w:ascii="Times New Roman" w:hAnsi="Times New Roman"/>
            <w:noProof/>
            <w:webHidden/>
            <w:sz w:val="24"/>
            <w:szCs w:val="24"/>
          </w:rPr>
          <w:fldChar w:fldCharType="end"/>
        </w:r>
      </w:hyperlink>
    </w:p>
    <w:p w14:paraId="61F7D180" w14:textId="77777777" w:rsidR="00413974" w:rsidRPr="000B672D" w:rsidRDefault="00413974">
      <w:pPr>
        <w:pStyle w:val="TOC3"/>
        <w:tabs>
          <w:tab w:val="left" w:pos="720"/>
          <w:tab w:val="right" w:leader="dot" w:pos="9350"/>
        </w:tabs>
        <w:rPr>
          <w:rFonts w:ascii="Times New Roman" w:eastAsiaTheme="minorEastAsia" w:hAnsi="Times New Roman"/>
          <w:noProof/>
          <w:snapToGrid/>
          <w:sz w:val="24"/>
          <w:szCs w:val="24"/>
        </w:rPr>
      </w:pPr>
      <w:hyperlink w:anchor="_Toc2778512" w:history="1">
        <w:r w:rsidRPr="000B672D">
          <w:rPr>
            <w:rStyle w:val="Hyperlink"/>
            <w:rFonts w:ascii="Times New Roman" w:hAnsi="Times New Roman"/>
            <w:noProof/>
            <w:sz w:val="24"/>
            <w:szCs w:val="24"/>
          </w:rPr>
          <w:t>13.</w:t>
        </w:r>
        <w:r w:rsidRPr="000B672D">
          <w:rPr>
            <w:rFonts w:ascii="Times New Roman" w:eastAsiaTheme="minorEastAsia" w:hAnsi="Times New Roman"/>
            <w:noProof/>
            <w:snapToGrid/>
            <w:sz w:val="24"/>
            <w:szCs w:val="24"/>
          </w:rPr>
          <w:tab/>
        </w:r>
        <w:r w:rsidRPr="000B672D">
          <w:rPr>
            <w:rStyle w:val="Hyperlink"/>
            <w:rFonts w:ascii="Times New Roman" w:hAnsi="Times New Roman"/>
            <w:noProof/>
            <w:sz w:val="24"/>
            <w:szCs w:val="24"/>
          </w:rPr>
          <w:t>Non-Standard True-Up</w:t>
        </w:r>
        <w:r w:rsidRPr="000B672D">
          <w:rPr>
            <w:rFonts w:ascii="Times New Roman" w:hAnsi="Times New Roman"/>
            <w:noProof/>
            <w:webHidden/>
            <w:sz w:val="24"/>
            <w:szCs w:val="24"/>
          </w:rPr>
          <w:tab/>
        </w:r>
        <w:r w:rsidRPr="000B672D">
          <w:rPr>
            <w:rFonts w:ascii="Times New Roman" w:hAnsi="Times New Roman"/>
            <w:noProof/>
            <w:webHidden/>
            <w:sz w:val="24"/>
            <w:szCs w:val="24"/>
          </w:rPr>
          <w:fldChar w:fldCharType="begin"/>
        </w:r>
        <w:r w:rsidRPr="000B672D">
          <w:rPr>
            <w:rFonts w:ascii="Times New Roman" w:hAnsi="Times New Roman"/>
            <w:noProof/>
            <w:webHidden/>
            <w:sz w:val="24"/>
            <w:szCs w:val="24"/>
          </w:rPr>
          <w:instrText xml:space="preserve"> PAGEREF _Toc2778512 \h </w:instrText>
        </w:r>
        <w:r w:rsidRPr="000B672D">
          <w:rPr>
            <w:rFonts w:ascii="Times New Roman" w:hAnsi="Times New Roman"/>
            <w:noProof/>
            <w:webHidden/>
            <w:sz w:val="24"/>
            <w:szCs w:val="24"/>
          </w:rPr>
        </w:r>
        <w:r w:rsidRPr="000B672D">
          <w:rPr>
            <w:rFonts w:ascii="Times New Roman" w:hAnsi="Times New Roman"/>
            <w:noProof/>
            <w:webHidden/>
            <w:sz w:val="24"/>
            <w:szCs w:val="24"/>
          </w:rPr>
          <w:fldChar w:fldCharType="separate"/>
        </w:r>
        <w:r w:rsidRPr="000B672D">
          <w:rPr>
            <w:rFonts w:ascii="Times New Roman" w:hAnsi="Times New Roman"/>
            <w:noProof/>
            <w:webHidden/>
            <w:sz w:val="24"/>
            <w:szCs w:val="24"/>
          </w:rPr>
          <w:t>56</w:t>
        </w:r>
        <w:r w:rsidRPr="000B672D">
          <w:rPr>
            <w:rFonts w:ascii="Times New Roman" w:hAnsi="Times New Roman"/>
            <w:noProof/>
            <w:webHidden/>
            <w:sz w:val="24"/>
            <w:szCs w:val="24"/>
          </w:rPr>
          <w:fldChar w:fldCharType="end"/>
        </w:r>
      </w:hyperlink>
    </w:p>
    <w:p w14:paraId="7B2D0DB0" w14:textId="77777777" w:rsidR="00413974" w:rsidRPr="000B672D" w:rsidRDefault="00413974">
      <w:pPr>
        <w:pStyle w:val="TOC3"/>
        <w:tabs>
          <w:tab w:val="left" w:pos="720"/>
          <w:tab w:val="right" w:leader="dot" w:pos="9350"/>
        </w:tabs>
        <w:rPr>
          <w:rFonts w:ascii="Times New Roman" w:eastAsiaTheme="minorEastAsia" w:hAnsi="Times New Roman"/>
          <w:noProof/>
          <w:snapToGrid/>
          <w:sz w:val="24"/>
          <w:szCs w:val="24"/>
        </w:rPr>
      </w:pPr>
      <w:hyperlink w:anchor="_Toc2778513" w:history="1">
        <w:r w:rsidRPr="000B672D">
          <w:rPr>
            <w:rStyle w:val="Hyperlink"/>
            <w:rFonts w:ascii="Times New Roman" w:hAnsi="Times New Roman"/>
            <w:noProof/>
            <w:sz w:val="24"/>
            <w:szCs w:val="24"/>
          </w:rPr>
          <w:t>14.</w:t>
        </w:r>
        <w:r w:rsidRPr="000B672D">
          <w:rPr>
            <w:rFonts w:ascii="Times New Roman" w:eastAsiaTheme="minorEastAsia" w:hAnsi="Times New Roman"/>
            <w:noProof/>
            <w:snapToGrid/>
            <w:sz w:val="24"/>
            <w:szCs w:val="24"/>
          </w:rPr>
          <w:tab/>
        </w:r>
        <w:r w:rsidRPr="000B672D">
          <w:rPr>
            <w:rStyle w:val="Hyperlink"/>
            <w:rFonts w:ascii="Times New Roman" w:hAnsi="Times New Roman"/>
            <w:noProof/>
            <w:sz w:val="24"/>
            <w:szCs w:val="24"/>
          </w:rPr>
          <w:t>Additional True-Up Provisions</w:t>
        </w:r>
        <w:r w:rsidRPr="000B672D">
          <w:rPr>
            <w:rFonts w:ascii="Times New Roman" w:hAnsi="Times New Roman"/>
            <w:noProof/>
            <w:webHidden/>
            <w:sz w:val="24"/>
            <w:szCs w:val="24"/>
          </w:rPr>
          <w:tab/>
        </w:r>
        <w:r w:rsidRPr="000B672D">
          <w:rPr>
            <w:rFonts w:ascii="Times New Roman" w:hAnsi="Times New Roman"/>
            <w:noProof/>
            <w:webHidden/>
            <w:sz w:val="24"/>
            <w:szCs w:val="24"/>
          </w:rPr>
          <w:fldChar w:fldCharType="begin"/>
        </w:r>
        <w:r w:rsidRPr="000B672D">
          <w:rPr>
            <w:rFonts w:ascii="Times New Roman" w:hAnsi="Times New Roman"/>
            <w:noProof/>
            <w:webHidden/>
            <w:sz w:val="24"/>
            <w:szCs w:val="24"/>
          </w:rPr>
          <w:instrText xml:space="preserve"> PAGEREF _Toc2778513 \h </w:instrText>
        </w:r>
        <w:r w:rsidRPr="000B672D">
          <w:rPr>
            <w:rFonts w:ascii="Times New Roman" w:hAnsi="Times New Roman"/>
            <w:noProof/>
            <w:webHidden/>
            <w:sz w:val="24"/>
            <w:szCs w:val="24"/>
          </w:rPr>
        </w:r>
        <w:r w:rsidRPr="000B672D">
          <w:rPr>
            <w:rFonts w:ascii="Times New Roman" w:hAnsi="Times New Roman"/>
            <w:noProof/>
            <w:webHidden/>
            <w:sz w:val="24"/>
            <w:szCs w:val="24"/>
          </w:rPr>
          <w:fldChar w:fldCharType="separate"/>
        </w:r>
        <w:r w:rsidRPr="000B672D">
          <w:rPr>
            <w:rFonts w:ascii="Times New Roman" w:hAnsi="Times New Roman"/>
            <w:noProof/>
            <w:webHidden/>
            <w:sz w:val="24"/>
            <w:szCs w:val="24"/>
          </w:rPr>
          <w:t>58</w:t>
        </w:r>
        <w:r w:rsidRPr="000B672D">
          <w:rPr>
            <w:rFonts w:ascii="Times New Roman" w:hAnsi="Times New Roman"/>
            <w:noProof/>
            <w:webHidden/>
            <w:sz w:val="24"/>
            <w:szCs w:val="24"/>
          </w:rPr>
          <w:fldChar w:fldCharType="end"/>
        </w:r>
      </w:hyperlink>
    </w:p>
    <w:p w14:paraId="0A731240" w14:textId="77777777" w:rsidR="00413974" w:rsidRPr="000B672D" w:rsidRDefault="00413974">
      <w:pPr>
        <w:pStyle w:val="TOC3"/>
        <w:tabs>
          <w:tab w:val="left" w:pos="720"/>
          <w:tab w:val="right" w:leader="dot" w:pos="9350"/>
        </w:tabs>
        <w:rPr>
          <w:rFonts w:ascii="Times New Roman" w:eastAsiaTheme="minorEastAsia" w:hAnsi="Times New Roman"/>
          <w:noProof/>
          <w:snapToGrid/>
          <w:sz w:val="24"/>
          <w:szCs w:val="24"/>
        </w:rPr>
      </w:pPr>
      <w:hyperlink w:anchor="_Toc2778514" w:history="1">
        <w:r w:rsidRPr="000B672D">
          <w:rPr>
            <w:rStyle w:val="Hyperlink"/>
            <w:rFonts w:ascii="Times New Roman" w:hAnsi="Times New Roman"/>
            <w:noProof/>
            <w:sz w:val="24"/>
            <w:szCs w:val="24"/>
          </w:rPr>
          <w:t>15.</w:t>
        </w:r>
        <w:r w:rsidRPr="000B672D">
          <w:rPr>
            <w:rFonts w:ascii="Times New Roman" w:eastAsiaTheme="minorEastAsia" w:hAnsi="Times New Roman"/>
            <w:noProof/>
            <w:snapToGrid/>
            <w:sz w:val="24"/>
            <w:szCs w:val="24"/>
          </w:rPr>
          <w:tab/>
        </w:r>
        <w:r w:rsidRPr="000B672D">
          <w:rPr>
            <w:rStyle w:val="Hyperlink"/>
            <w:rFonts w:ascii="Times New Roman" w:hAnsi="Times New Roman"/>
            <w:noProof/>
            <w:sz w:val="24"/>
            <w:szCs w:val="24"/>
          </w:rPr>
          <w:t>Designated Representative</w:t>
        </w:r>
        <w:r w:rsidRPr="000B672D">
          <w:rPr>
            <w:rFonts w:ascii="Times New Roman" w:hAnsi="Times New Roman"/>
            <w:noProof/>
            <w:webHidden/>
            <w:sz w:val="24"/>
            <w:szCs w:val="24"/>
          </w:rPr>
          <w:tab/>
        </w:r>
        <w:r w:rsidRPr="000B672D">
          <w:rPr>
            <w:rFonts w:ascii="Times New Roman" w:hAnsi="Times New Roman"/>
            <w:noProof/>
            <w:webHidden/>
            <w:sz w:val="24"/>
            <w:szCs w:val="24"/>
          </w:rPr>
          <w:fldChar w:fldCharType="begin"/>
        </w:r>
        <w:r w:rsidRPr="000B672D">
          <w:rPr>
            <w:rFonts w:ascii="Times New Roman" w:hAnsi="Times New Roman"/>
            <w:noProof/>
            <w:webHidden/>
            <w:sz w:val="24"/>
            <w:szCs w:val="24"/>
          </w:rPr>
          <w:instrText xml:space="preserve"> PAGEREF _Toc2778514 \h </w:instrText>
        </w:r>
        <w:r w:rsidRPr="000B672D">
          <w:rPr>
            <w:rFonts w:ascii="Times New Roman" w:hAnsi="Times New Roman"/>
            <w:noProof/>
            <w:webHidden/>
            <w:sz w:val="24"/>
            <w:szCs w:val="24"/>
          </w:rPr>
        </w:r>
        <w:r w:rsidRPr="000B672D">
          <w:rPr>
            <w:rFonts w:ascii="Times New Roman" w:hAnsi="Times New Roman"/>
            <w:noProof/>
            <w:webHidden/>
            <w:sz w:val="24"/>
            <w:szCs w:val="24"/>
          </w:rPr>
          <w:fldChar w:fldCharType="separate"/>
        </w:r>
        <w:r w:rsidRPr="000B672D">
          <w:rPr>
            <w:rFonts w:ascii="Times New Roman" w:hAnsi="Times New Roman"/>
            <w:noProof/>
            <w:webHidden/>
            <w:sz w:val="24"/>
            <w:szCs w:val="24"/>
          </w:rPr>
          <w:t>59</w:t>
        </w:r>
        <w:r w:rsidRPr="000B672D">
          <w:rPr>
            <w:rFonts w:ascii="Times New Roman" w:hAnsi="Times New Roman"/>
            <w:noProof/>
            <w:webHidden/>
            <w:sz w:val="24"/>
            <w:szCs w:val="24"/>
          </w:rPr>
          <w:fldChar w:fldCharType="end"/>
        </w:r>
      </w:hyperlink>
    </w:p>
    <w:p w14:paraId="7B8FD7B8" w14:textId="77777777" w:rsidR="00413974" w:rsidRPr="000B672D" w:rsidRDefault="00413974">
      <w:pPr>
        <w:pStyle w:val="TOC3"/>
        <w:tabs>
          <w:tab w:val="left" w:pos="720"/>
          <w:tab w:val="right" w:leader="dot" w:pos="9350"/>
        </w:tabs>
        <w:rPr>
          <w:rFonts w:ascii="Times New Roman" w:eastAsiaTheme="minorEastAsia" w:hAnsi="Times New Roman"/>
          <w:noProof/>
          <w:snapToGrid/>
          <w:sz w:val="24"/>
          <w:szCs w:val="24"/>
        </w:rPr>
      </w:pPr>
      <w:hyperlink w:anchor="_Toc2778515" w:history="1">
        <w:r w:rsidRPr="000B672D">
          <w:rPr>
            <w:rStyle w:val="Hyperlink"/>
            <w:rFonts w:ascii="Times New Roman" w:hAnsi="Times New Roman"/>
            <w:noProof/>
            <w:sz w:val="24"/>
            <w:szCs w:val="24"/>
          </w:rPr>
          <w:t>16.</w:t>
        </w:r>
        <w:r w:rsidRPr="000B672D">
          <w:rPr>
            <w:rFonts w:ascii="Times New Roman" w:eastAsiaTheme="minorEastAsia" w:hAnsi="Times New Roman"/>
            <w:noProof/>
            <w:snapToGrid/>
            <w:sz w:val="24"/>
            <w:szCs w:val="24"/>
          </w:rPr>
          <w:tab/>
        </w:r>
        <w:r w:rsidRPr="000B672D">
          <w:rPr>
            <w:rStyle w:val="Hyperlink"/>
            <w:rFonts w:ascii="Times New Roman" w:hAnsi="Times New Roman"/>
            <w:noProof/>
            <w:sz w:val="24"/>
            <w:szCs w:val="24"/>
          </w:rPr>
          <w:t>Lowest System Restoration Bond Charges</w:t>
        </w:r>
        <w:r w:rsidRPr="000B672D">
          <w:rPr>
            <w:rFonts w:ascii="Times New Roman" w:hAnsi="Times New Roman"/>
            <w:noProof/>
            <w:webHidden/>
            <w:sz w:val="24"/>
            <w:szCs w:val="24"/>
          </w:rPr>
          <w:tab/>
        </w:r>
        <w:r w:rsidRPr="000B672D">
          <w:rPr>
            <w:rFonts w:ascii="Times New Roman" w:hAnsi="Times New Roman"/>
            <w:noProof/>
            <w:webHidden/>
            <w:sz w:val="24"/>
            <w:szCs w:val="24"/>
          </w:rPr>
          <w:fldChar w:fldCharType="begin"/>
        </w:r>
        <w:r w:rsidRPr="000B672D">
          <w:rPr>
            <w:rFonts w:ascii="Times New Roman" w:hAnsi="Times New Roman"/>
            <w:noProof/>
            <w:webHidden/>
            <w:sz w:val="24"/>
            <w:szCs w:val="24"/>
          </w:rPr>
          <w:instrText xml:space="preserve"> PAGEREF _Toc2778515 \h </w:instrText>
        </w:r>
        <w:r w:rsidRPr="000B672D">
          <w:rPr>
            <w:rFonts w:ascii="Times New Roman" w:hAnsi="Times New Roman"/>
            <w:noProof/>
            <w:webHidden/>
            <w:sz w:val="24"/>
            <w:szCs w:val="24"/>
          </w:rPr>
        </w:r>
        <w:r w:rsidRPr="000B672D">
          <w:rPr>
            <w:rFonts w:ascii="Times New Roman" w:hAnsi="Times New Roman"/>
            <w:noProof/>
            <w:webHidden/>
            <w:sz w:val="24"/>
            <w:szCs w:val="24"/>
          </w:rPr>
          <w:fldChar w:fldCharType="separate"/>
        </w:r>
        <w:r w:rsidRPr="000B672D">
          <w:rPr>
            <w:rFonts w:ascii="Times New Roman" w:hAnsi="Times New Roman"/>
            <w:noProof/>
            <w:webHidden/>
            <w:sz w:val="24"/>
            <w:szCs w:val="24"/>
          </w:rPr>
          <w:t>60</w:t>
        </w:r>
        <w:r w:rsidRPr="000B672D">
          <w:rPr>
            <w:rFonts w:ascii="Times New Roman" w:hAnsi="Times New Roman"/>
            <w:noProof/>
            <w:webHidden/>
            <w:sz w:val="24"/>
            <w:szCs w:val="24"/>
          </w:rPr>
          <w:fldChar w:fldCharType="end"/>
        </w:r>
      </w:hyperlink>
    </w:p>
    <w:p w14:paraId="5853B011" w14:textId="77777777" w:rsidR="00413974" w:rsidRPr="000B672D" w:rsidRDefault="00413974">
      <w:pPr>
        <w:pStyle w:val="TOC2"/>
        <w:tabs>
          <w:tab w:val="right" w:leader="dot" w:pos="9350"/>
        </w:tabs>
        <w:rPr>
          <w:rFonts w:ascii="Times New Roman" w:eastAsiaTheme="minorEastAsia" w:hAnsi="Times New Roman"/>
          <w:b w:val="0"/>
          <w:bCs w:val="0"/>
          <w:noProof/>
          <w:snapToGrid/>
          <w:sz w:val="24"/>
          <w:szCs w:val="24"/>
        </w:rPr>
      </w:pPr>
      <w:hyperlink w:anchor="_Toc2778516" w:history="1">
        <w:r w:rsidRPr="000B672D">
          <w:rPr>
            <w:rStyle w:val="Hyperlink"/>
            <w:rFonts w:ascii="Times New Roman" w:hAnsi="Times New Roman"/>
            <w:noProof/>
            <w:sz w:val="24"/>
            <w:szCs w:val="24"/>
          </w:rPr>
          <w:t>D. Use of Proceeds</w:t>
        </w:r>
        <w:r w:rsidRPr="000B672D">
          <w:rPr>
            <w:rFonts w:ascii="Times New Roman" w:hAnsi="Times New Roman"/>
            <w:noProof/>
            <w:webHidden/>
            <w:sz w:val="24"/>
            <w:szCs w:val="24"/>
          </w:rPr>
          <w:tab/>
        </w:r>
        <w:r w:rsidRPr="000B672D">
          <w:rPr>
            <w:rFonts w:ascii="Times New Roman" w:hAnsi="Times New Roman"/>
            <w:noProof/>
            <w:webHidden/>
            <w:sz w:val="24"/>
            <w:szCs w:val="24"/>
          </w:rPr>
          <w:fldChar w:fldCharType="begin"/>
        </w:r>
        <w:r w:rsidRPr="000B672D">
          <w:rPr>
            <w:rFonts w:ascii="Times New Roman" w:hAnsi="Times New Roman"/>
            <w:noProof/>
            <w:webHidden/>
            <w:sz w:val="24"/>
            <w:szCs w:val="24"/>
          </w:rPr>
          <w:instrText xml:space="preserve"> PAGEREF _Toc2778516 \h </w:instrText>
        </w:r>
        <w:r w:rsidRPr="000B672D">
          <w:rPr>
            <w:rFonts w:ascii="Times New Roman" w:hAnsi="Times New Roman"/>
            <w:noProof/>
            <w:webHidden/>
            <w:sz w:val="24"/>
            <w:szCs w:val="24"/>
          </w:rPr>
        </w:r>
        <w:r w:rsidRPr="000B672D">
          <w:rPr>
            <w:rFonts w:ascii="Times New Roman" w:hAnsi="Times New Roman"/>
            <w:noProof/>
            <w:webHidden/>
            <w:sz w:val="24"/>
            <w:szCs w:val="24"/>
          </w:rPr>
          <w:fldChar w:fldCharType="separate"/>
        </w:r>
        <w:r w:rsidRPr="000B672D">
          <w:rPr>
            <w:rFonts w:ascii="Times New Roman" w:hAnsi="Times New Roman"/>
            <w:noProof/>
            <w:webHidden/>
            <w:sz w:val="24"/>
            <w:szCs w:val="24"/>
          </w:rPr>
          <w:t>62</w:t>
        </w:r>
        <w:r w:rsidRPr="000B672D">
          <w:rPr>
            <w:rFonts w:ascii="Times New Roman" w:hAnsi="Times New Roman"/>
            <w:noProof/>
            <w:webHidden/>
            <w:sz w:val="24"/>
            <w:szCs w:val="24"/>
          </w:rPr>
          <w:fldChar w:fldCharType="end"/>
        </w:r>
      </w:hyperlink>
    </w:p>
    <w:p w14:paraId="1D96708B" w14:textId="77777777" w:rsidR="00413974" w:rsidRPr="000B672D" w:rsidRDefault="00413974">
      <w:pPr>
        <w:pStyle w:val="TOC1"/>
        <w:tabs>
          <w:tab w:val="right" w:leader="dot" w:pos="9350"/>
        </w:tabs>
        <w:rPr>
          <w:rFonts w:ascii="Times New Roman" w:eastAsiaTheme="minorEastAsia" w:hAnsi="Times New Roman"/>
          <w:b w:val="0"/>
          <w:bCs w:val="0"/>
          <w:caps w:val="0"/>
          <w:noProof/>
          <w:snapToGrid/>
        </w:rPr>
      </w:pPr>
      <w:hyperlink w:anchor="_Toc2778517" w:history="1">
        <w:r w:rsidRPr="000B672D">
          <w:rPr>
            <w:rStyle w:val="Hyperlink"/>
            <w:rFonts w:ascii="Times New Roman" w:hAnsi="Times New Roman"/>
            <w:noProof/>
          </w:rPr>
          <w:t>IV. Conclusions of Law</w:t>
        </w:r>
        <w:r w:rsidRPr="000B672D">
          <w:rPr>
            <w:rFonts w:ascii="Times New Roman" w:hAnsi="Times New Roman"/>
            <w:noProof/>
            <w:webHidden/>
          </w:rPr>
          <w:tab/>
        </w:r>
        <w:r w:rsidRPr="000B672D">
          <w:rPr>
            <w:rFonts w:ascii="Times New Roman" w:hAnsi="Times New Roman"/>
            <w:noProof/>
            <w:webHidden/>
          </w:rPr>
          <w:fldChar w:fldCharType="begin"/>
        </w:r>
        <w:r w:rsidRPr="000B672D">
          <w:rPr>
            <w:rFonts w:ascii="Times New Roman" w:hAnsi="Times New Roman"/>
            <w:noProof/>
            <w:webHidden/>
          </w:rPr>
          <w:instrText xml:space="preserve"> PAGEREF _Toc2778517 \h </w:instrText>
        </w:r>
        <w:r w:rsidRPr="000B672D">
          <w:rPr>
            <w:rFonts w:ascii="Times New Roman" w:hAnsi="Times New Roman"/>
            <w:noProof/>
            <w:webHidden/>
          </w:rPr>
        </w:r>
        <w:r w:rsidRPr="000B672D">
          <w:rPr>
            <w:rFonts w:ascii="Times New Roman" w:hAnsi="Times New Roman"/>
            <w:noProof/>
            <w:webHidden/>
          </w:rPr>
          <w:fldChar w:fldCharType="separate"/>
        </w:r>
        <w:r w:rsidRPr="000B672D">
          <w:rPr>
            <w:rFonts w:ascii="Times New Roman" w:hAnsi="Times New Roman"/>
            <w:noProof/>
            <w:webHidden/>
          </w:rPr>
          <w:t>62</w:t>
        </w:r>
        <w:r w:rsidRPr="000B672D">
          <w:rPr>
            <w:rFonts w:ascii="Times New Roman" w:hAnsi="Times New Roman"/>
            <w:noProof/>
            <w:webHidden/>
          </w:rPr>
          <w:fldChar w:fldCharType="end"/>
        </w:r>
      </w:hyperlink>
    </w:p>
    <w:p w14:paraId="2F683B58" w14:textId="77777777" w:rsidR="00413974" w:rsidRPr="000B672D" w:rsidRDefault="00413974">
      <w:pPr>
        <w:pStyle w:val="TOC1"/>
        <w:tabs>
          <w:tab w:val="right" w:leader="dot" w:pos="9350"/>
        </w:tabs>
        <w:rPr>
          <w:rFonts w:ascii="Times New Roman" w:eastAsiaTheme="minorEastAsia" w:hAnsi="Times New Roman"/>
          <w:b w:val="0"/>
          <w:bCs w:val="0"/>
          <w:caps w:val="0"/>
          <w:noProof/>
          <w:snapToGrid/>
        </w:rPr>
      </w:pPr>
      <w:hyperlink w:anchor="_Toc2778518" w:history="1">
        <w:r w:rsidRPr="000B672D">
          <w:rPr>
            <w:rStyle w:val="Hyperlink"/>
            <w:rFonts w:ascii="Times New Roman" w:hAnsi="Times New Roman"/>
            <w:noProof/>
          </w:rPr>
          <w:t>V. Ordering Paragraphs</w:t>
        </w:r>
        <w:r w:rsidRPr="000B672D">
          <w:rPr>
            <w:rFonts w:ascii="Times New Roman" w:hAnsi="Times New Roman"/>
            <w:noProof/>
            <w:webHidden/>
          </w:rPr>
          <w:tab/>
        </w:r>
        <w:r w:rsidRPr="000B672D">
          <w:rPr>
            <w:rFonts w:ascii="Times New Roman" w:hAnsi="Times New Roman"/>
            <w:noProof/>
            <w:webHidden/>
          </w:rPr>
          <w:fldChar w:fldCharType="begin"/>
        </w:r>
        <w:r w:rsidRPr="000B672D">
          <w:rPr>
            <w:rFonts w:ascii="Times New Roman" w:hAnsi="Times New Roman"/>
            <w:noProof/>
            <w:webHidden/>
          </w:rPr>
          <w:instrText xml:space="preserve"> PAGEREF _Toc2778518 \h </w:instrText>
        </w:r>
        <w:r w:rsidRPr="000B672D">
          <w:rPr>
            <w:rFonts w:ascii="Times New Roman" w:hAnsi="Times New Roman"/>
            <w:noProof/>
            <w:webHidden/>
          </w:rPr>
        </w:r>
        <w:r w:rsidRPr="000B672D">
          <w:rPr>
            <w:rFonts w:ascii="Times New Roman" w:hAnsi="Times New Roman"/>
            <w:noProof/>
            <w:webHidden/>
          </w:rPr>
          <w:fldChar w:fldCharType="separate"/>
        </w:r>
        <w:r w:rsidRPr="000B672D">
          <w:rPr>
            <w:rFonts w:ascii="Times New Roman" w:hAnsi="Times New Roman"/>
            <w:noProof/>
            <w:webHidden/>
          </w:rPr>
          <w:t>71</w:t>
        </w:r>
        <w:r w:rsidRPr="000B672D">
          <w:rPr>
            <w:rFonts w:ascii="Times New Roman" w:hAnsi="Times New Roman"/>
            <w:noProof/>
            <w:webHidden/>
          </w:rPr>
          <w:fldChar w:fldCharType="end"/>
        </w:r>
      </w:hyperlink>
    </w:p>
    <w:p w14:paraId="4CB9774F" w14:textId="77777777" w:rsidR="00413974" w:rsidRPr="000B672D" w:rsidRDefault="00413974">
      <w:pPr>
        <w:pStyle w:val="TOC2"/>
        <w:tabs>
          <w:tab w:val="right" w:leader="dot" w:pos="9350"/>
        </w:tabs>
        <w:rPr>
          <w:rFonts w:ascii="Times New Roman" w:eastAsiaTheme="minorEastAsia" w:hAnsi="Times New Roman"/>
          <w:b w:val="0"/>
          <w:bCs w:val="0"/>
          <w:noProof/>
          <w:snapToGrid/>
          <w:sz w:val="24"/>
          <w:szCs w:val="24"/>
        </w:rPr>
      </w:pPr>
      <w:hyperlink w:anchor="_Toc2778519" w:history="1">
        <w:r w:rsidRPr="000B672D">
          <w:rPr>
            <w:rStyle w:val="Hyperlink"/>
            <w:rFonts w:ascii="Times New Roman" w:hAnsi="Times New Roman"/>
            <w:noProof/>
            <w:sz w:val="24"/>
            <w:szCs w:val="24"/>
          </w:rPr>
          <w:t>A. Approval</w:t>
        </w:r>
        <w:r w:rsidRPr="000B672D">
          <w:rPr>
            <w:rFonts w:ascii="Times New Roman" w:hAnsi="Times New Roman"/>
            <w:noProof/>
            <w:webHidden/>
            <w:sz w:val="24"/>
            <w:szCs w:val="24"/>
          </w:rPr>
          <w:tab/>
        </w:r>
        <w:r w:rsidRPr="000B672D">
          <w:rPr>
            <w:rFonts w:ascii="Times New Roman" w:hAnsi="Times New Roman"/>
            <w:noProof/>
            <w:webHidden/>
            <w:sz w:val="24"/>
            <w:szCs w:val="24"/>
          </w:rPr>
          <w:fldChar w:fldCharType="begin"/>
        </w:r>
        <w:r w:rsidRPr="000B672D">
          <w:rPr>
            <w:rFonts w:ascii="Times New Roman" w:hAnsi="Times New Roman"/>
            <w:noProof/>
            <w:webHidden/>
            <w:sz w:val="24"/>
            <w:szCs w:val="24"/>
          </w:rPr>
          <w:instrText xml:space="preserve"> PAGEREF _Toc2778519 \h </w:instrText>
        </w:r>
        <w:r w:rsidRPr="000B672D">
          <w:rPr>
            <w:rFonts w:ascii="Times New Roman" w:hAnsi="Times New Roman"/>
            <w:noProof/>
            <w:webHidden/>
            <w:sz w:val="24"/>
            <w:szCs w:val="24"/>
          </w:rPr>
        </w:r>
        <w:r w:rsidRPr="000B672D">
          <w:rPr>
            <w:rFonts w:ascii="Times New Roman" w:hAnsi="Times New Roman"/>
            <w:noProof/>
            <w:webHidden/>
            <w:sz w:val="24"/>
            <w:szCs w:val="24"/>
          </w:rPr>
          <w:fldChar w:fldCharType="separate"/>
        </w:r>
        <w:r w:rsidRPr="000B672D">
          <w:rPr>
            <w:rFonts w:ascii="Times New Roman" w:hAnsi="Times New Roman"/>
            <w:noProof/>
            <w:webHidden/>
            <w:sz w:val="24"/>
            <w:szCs w:val="24"/>
          </w:rPr>
          <w:t>71</w:t>
        </w:r>
        <w:r w:rsidRPr="000B672D">
          <w:rPr>
            <w:rFonts w:ascii="Times New Roman" w:hAnsi="Times New Roman"/>
            <w:noProof/>
            <w:webHidden/>
            <w:sz w:val="24"/>
            <w:szCs w:val="24"/>
          </w:rPr>
          <w:fldChar w:fldCharType="end"/>
        </w:r>
      </w:hyperlink>
    </w:p>
    <w:p w14:paraId="0222F176" w14:textId="77777777" w:rsidR="00413974" w:rsidRPr="000B672D" w:rsidRDefault="00413974">
      <w:pPr>
        <w:pStyle w:val="TOC2"/>
        <w:tabs>
          <w:tab w:val="right" w:leader="dot" w:pos="9350"/>
        </w:tabs>
        <w:rPr>
          <w:rFonts w:ascii="Times New Roman" w:eastAsiaTheme="minorEastAsia" w:hAnsi="Times New Roman"/>
          <w:b w:val="0"/>
          <w:bCs w:val="0"/>
          <w:noProof/>
          <w:snapToGrid/>
          <w:sz w:val="24"/>
          <w:szCs w:val="24"/>
        </w:rPr>
      </w:pPr>
      <w:hyperlink w:anchor="_Toc2778520" w:history="1">
        <w:r w:rsidRPr="000B672D">
          <w:rPr>
            <w:rStyle w:val="Hyperlink"/>
            <w:rFonts w:ascii="Times New Roman" w:hAnsi="Times New Roman"/>
            <w:noProof/>
            <w:sz w:val="24"/>
            <w:szCs w:val="24"/>
          </w:rPr>
          <w:t>B. System Restoration Charges</w:t>
        </w:r>
        <w:r w:rsidRPr="000B672D">
          <w:rPr>
            <w:rFonts w:ascii="Times New Roman" w:hAnsi="Times New Roman"/>
            <w:noProof/>
            <w:webHidden/>
            <w:sz w:val="24"/>
            <w:szCs w:val="24"/>
          </w:rPr>
          <w:tab/>
        </w:r>
        <w:r w:rsidRPr="000B672D">
          <w:rPr>
            <w:rFonts w:ascii="Times New Roman" w:hAnsi="Times New Roman"/>
            <w:noProof/>
            <w:webHidden/>
            <w:sz w:val="24"/>
            <w:szCs w:val="24"/>
          </w:rPr>
          <w:fldChar w:fldCharType="begin"/>
        </w:r>
        <w:r w:rsidRPr="000B672D">
          <w:rPr>
            <w:rFonts w:ascii="Times New Roman" w:hAnsi="Times New Roman"/>
            <w:noProof/>
            <w:webHidden/>
            <w:sz w:val="24"/>
            <w:szCs w:val="24"/>
          </w:rPr>
          <w:instrText xml:space="preserve"> PAGEREF _Toc2778520 \h </w:instrText>
        </w:r>
        <w:r w:rsidRPr="000B672D">
          <w:rPr>
            <w:rFonts w:ascii="Times New Roman" w:hAnsi="Times New Roman"/>
            <w:noProof/>
            <w:webHidden/>
            <w:sz w:val="24"/>
            <w:szCs w:val="24"/>
          </w:rPr>
        </w:r>
        <w:r w:rsidRPr="000B672D">
          <w:rPr>
            <w:rFonts w:ascii="Times New Roman" w:hAnsi="Times New Roman"/>
            <w:noProof/>
            <w:webHidden/>
            <w:sz w:val="24"/>
            <w:szCs w:val="24"/>
          </w:rPr>
          <w:fldChar w:fldCharType="separate"/>
        </w:r>
        <w:r w:rsidRPr="000B672D">
          <w:rPr>
            <w:rFonts w:ascii="Times New Roman" w:hAnsi="Times New Roman"/>
            <w:noProof/>
            <w:webHidden/>
            <w:sz w:val="24"/>
            <w:szCs w:val="24"/>
          </w:rPr>
          <w:t>74</w:t>
        </w:r>
        <w:r w:rsidRPr="000B672D">
          <w:rPr>
            <w:rFonts w:ascii="Times New Roman" w:hAnsi="Times New Roman"/>
            <w:noProof/>
            <w:webHidden/>
            <w:sz w:val="24"/>
            <w:szCs w:val="24"/>
          </w:rPr>
          <w:fldChar w:fldCharType="end"/>
        </w:r>
      </w:hyperlink>
    </w:p>
    <w:p w14:paraId="1195F497" w14:textId="77777777" w:rsidR="00413974" w:rsidRPr="000B672D" w:rsidRDefault="00413974">
      <w:pPr>
        <w:pStyle w:val="TOC2"/>
        <w:tabs>
          <w:tab w:val="right" w:leader="dot" w:pos="9350"/>
        </w:tabs>
        <w:rPr>
          <w:rFonts w:ascii="Times New Roman" w:eastAsiaTheme="minorEastAsia" w:hAnsi="Times New Roman"/>
          <w:b w:val="0"/>
          <w:bCs w:val="0"/>
          <w:noProof/>
          <w:snapToGrid/>
          <w:sz w:val="24"/>
          <w:szCs w:val="24"/>
        </w:rPr>
      </w:pPr>
      <w:hyperlink w:anchor="_Toc2778521" w:history="1">
        <w:r w:rsidRPr="000B672D">
          <w:rPr>
            <w:rStyle w:val="Hyperlink"/>
            <w:rFonts w:ascii="Times New Roman" w:hAnsi="Times New Roman"/>
            <w:noProof/>
            <w:sz w:val="24"/>
            <w:szCs w:val="24"/>
          </w:rPr>
          <w:t>C. System Restoration Bonds</w:t>
        </w:r>
        <w:r w:rsidRPr="000B672D">
          <w:rPr>
            <w:rFonts w:ascii="Times New Roman" w:hAnsi="Times New Roman"/>
            <w:noProof/>
            <w:webHidden/>
            <w:sz w:val="24"/>
            <w:szCs w:val="24"/>
          </w:rPr>
          <w:tab/>
        </w:r>
        <w:r w:rsidRPr="000B672D">
          <w:rPr>
            <w:rFonts w:ascii="Times New Roman" w:hAnsi="Times New Roman"/>
            <w:noProof/>
            <w:webHidden/>
            <w:sz w:val="24"/>
            <w:szCs w:val="24"/>
          </w:rPr>
          <w:fldChar w:fldCharType="begin"/>
        </w:r>
        <w:r w:rsidRPr="000B672D">
          <w:rPr>
            <w:rFonts w:ascii="Times New Roman" w:hAnsi="Times New Roman"/>
            <w:noProof/>
            <w:webHidden/>
            <w:sz w:val="24"/>
            <w:szCs w:val="24"/>
          </w:rPr>
          <w:instrText xml:space="preserve"> PAGEREF _Toc2778521 \h </w:instrText>
        </w:r>
        <w:r w:rsidRPr="000B672D">
          <w:rPr>
            <w:rFonts w:ascii="Times New Roman" w:hAnsi="Times New Roman"/>
            <w:noProof/>
            <w:webHidden/>
            <w:sz w:val="24"/>
            <w:szCs w:val="24"/>
          </w:rPr>
        </w:r>
        <w:r w:rsidRPr="000B672D">
          <w:rPr>
            <w:rFonts w:ascii="Times New Roman" w:hAnsi="Times New Roman"/>
            <w:noProof/>
            <w:webHidden/>
            <w:sz w:val="24"/>
            <w:szCs w:val="24"/>
          </w:rPr>
          <w:fldChar w:fldCharType="separate"/>
        </w:r>
        <w:r w:rsidRPr="000B672D">
          <w:rPr>
            <w:rFonts w:ascii="Times New Roman" w:hAnsi="Times New Roman"/>
            <w:noProof/>
            <w:webHidden/>
            <w:sz w:val="24"/>
            <w:szCs w:val="24"/>
          </w:rPr>
          <w:t>77</w:t>
        </w:r>
        <w:r w:rsidRPr="000B672D">
          <w:rPr>
            <w:rFonts w:ascii="Times New Roman" w:hAnsi="Times New Roman"/>
            <w:noProof/>
            <w:webHidden/>
            <w:sz w:val="24"/>
            <w:szCs w:val="24"/>
          </w:rPr>
          <w:fldChar w:fldCharType="end"/>
        </w:r>
      </w:hyperlink>
    </w:p>
    <w:p w14:paraId="40D50B97" w14:textId="77777777" w:rsidR="00413974" w:rsidRPr="000B672D" w:rsidRDefault="00413974">
      <w:pPr>
        <w:pStyle w:val="TOC2"/>
        <w:tabs>
          <w:tab w:val="right" w:leader="dot" w:pos="9350"/>
        </w:tabs>
        <w:rPr>
          <w:rFonts w:ascii="Times New Roman" w:eastAsiaTheme="minorEastAsia" w:hAnsi="Times New Roman"/>
          <w:b w:val="0"/>
          <w:bCs w:val="0"/>
          <w:noProof/>
          <w:snapToGrid/>
          <w:sz w:val="24"/>
          <w:szCs w:val="24"/>
        </w:rPr>
      </w:pPr>
      <w:hyperlink w:anchor="_Toc2778522" w:history="1">
        <w:r w:rsidRPr="000B672D">
          <w:rPr>
            <w:rStyle w:val="Hyperlink"/>
            <w:rFonts w:ascii="Times New Roman" w:hAnsi="Times New Roman"/>
            <w:noProof/>
            <w:sz w:val="24"/>
            <w:szCs w:val="24"/>
          </w:rPr>
          <w:t>D. Servicing</w:t>
        </w:r>
        <w:r w:rsidRPr="000B672D">
          <w:rPr>
            <w:rFonts w:ascii="Times New Roman" w:hAnsi="Times New Roman"/>
            <w:noProof/>
            <w:webHidden/>
            <w:sz w:val="24"/>
            <w:szCs w:val="24"/>
          </w:rPr>
          <w:tab/>
        </w:r>
        <w:r w:rsidRPr="000B672D">
          <w:rPr>
            <w:rFonts w:ascii="Times New Roman" w:hAnsi="Times New Roman"/>
            <w:noProof/>
            <w:webHidden/>
            <w:sz w:val="24"/>
            <w:szCs w:val="24"/>
          </w:rPr>
          <w:fldChar w:fldCharType="begin"/>
        </w:r>
        <w:r w:rsidRPr="000B672D">
          <w:rPr>
            <w:rFonts w:ascii="Times New Roman" w:hAnsi="Times New Roman"/>
            <w:noProof/>
            <w:webHidden/>
            <w:sz w:val="24"/>
            <w:szCs w:val="24"/>
          </w:rPr>
          <w:instrText xml:space="preserve"> PAGEREF _Toc2778522 \h </w:instrText>
        </w:r>
        <w:r w:rsidRPr="000B672D">
          <w:rPr>
            <w:rFonts w:ascii="Times New Roman" w:hAnsi="Times New Roman"/>
            <w:noProof/>
            <w:webHidden/>
            <w:sz w:val="24"/>
            <w:szCs w:val="24"/>
          </w:rPr>
        </w:r>
        <w:r w:rsidRPr="000B672D">
          <w:rPr>
            <w:rFonts w:ascii="Times New Roman" w:hAnsi="Times New Roman"/>
            <w:noProof/>
            <w:webHidden/>
            <w:sz w:val="24"/>
            <w:szCs w:val="24"/>
          </w:rPr>
          <w:fldChar w:fldCharType="separate"/>
        </w:r>
        <w:r w:rsidRPr="000B672D">
          <w:rPr>
            <w:rFonts w:ascii="Times New Roman" w:hAnsi="Times New Roman"/>
            <w:noProof/>
            <w:webHidden/>
            <w:sz w:val="24"/>
            <w:szCs w:val="24"/>
          </w:rPr>
          <w:t>82</w:t>
        </w:r>
        <w:r w:rsidRPr="000B672D">
          <w:rPr>
            <w:rFonts w:ascii="Times New Roman" w:hAnsi="Times New Roman"/>
            <w:noProof/>
            <w:webHidden/>
            <w:sz w:val="24"/>
            <w:szCs w:val="24"/>
          </w:rPr>
          <w:fldChar w:fldCharType="end"/>
        </w:r>
      </w:hyperlink>
    </w:p>
    <w:p w14:paraId="482A7C51" w14:textId="77777777" w:rsidR="00413974" w:rsidRPr="000B672D" w:rsidRDefault="00413974">
      <w:pPr>
        <w:pStyle w:val="TOC2"/>
        <w:tabs>
          <w:tab w:val="right" w:leader="dot" w:pos="9350"/>
        </w:tabs>
        <w:rPr>
          <w:rFonts w:ascii="Times New Roman" w:eastAsiaTheme="minorEastAsia" w:hAnsi="Times New Roman"/>
          <w:b w:val="0"/>
          <w:bCs w:val="0"/>
          <w:noProof/>
          <w:snapToGrid/>
          <w:sz w:val="24"/>
          <w:szCs w:val="24"/>
        </w:rPr>
      </w:pPr>
      <w:hyperlink w:anchor="_Toc2778523" w:history="1">
        <w:r w:rsidRPr="000B672D">
          <w:rPr>
            <w:rStyle w:val="Hyperlink"/>
            <w:rFonts w:ascii="Times New Roman" w:hAnsi="Times New Roman"/>
            <w:noProof/>
            <w:sz w:val="24"/>
            <w:szCs w:val="24"/>
          </w:rPr>
          <w:t>E. Retail Electric Providers</w:t>
        </w:r>
        <w:r w:rsidRPr="000B672D">
          <w:rPr>
            <w:rFonts w:ascii="Times New Roman" w:hAnsi="Times New Roman"/>
            <w:noProof/>
            <w:webHidden/>
            <w:sz w:val="24"/>
            <w:szCs w:val="24"/>
          </w:rPr>
          <w:tab/>
        </w:r>
        <w:r w:rsidRPr="000B672D">
          <w:rPr>
            <w:rFonts w:ascii="Times New Roman" w:hAnsi="Times New Roman"/>
            <w:noProof/>
            <w:webHidden/>
            <w:sz w:val="24"/>
            <w:szCs w:val="24"/>
          </w:rPr>
          <w:fldChar w:fldCharType="begin"/>
        </w:r>
        <w:r w:rsidRPr="000B672D">
          <w:rPr>
            <w:rFonts w:ascii="Times New Roman" w:hAnsi="Times New Roman"/>
            <w:noProof/>
            <w:webHidden/>
            <w:sz w:val="24"/>
            <w:szCs w:val="24"/>
          </w:rPr>
          <w:instrText xml:space="preserve"> PAGEREF _Toc2778523 \h </w:instrText>
        </w:r>
        <w:r w:rsidRPr="000B672D">
          <w:rPr>
            <w:rFonts w:ascii="Times New Roman" w:hAnsi="Times New Roman"/>
            <w:noProof/>
            <w:webHidden/>
            <w:sz w:val="24"/>
            <w:szCs w:val="24"/>
          </w:rPr>
        </w:r>
        <w:r w:rsidRPr="000B672D">
          <w:rPr>
            <w:rFonts w:ascii="Times New Roman" w:hAnsi="Times New Roman"/>
            <w:noProof/>
            <w:webHidden/>
            <w:sz w:val="24"/>
            <w:szCs w:val="24"/>
          </w:rPr>
          <w:fldChar w:fldCharType="separate"/>
        </w:r>
        <w:r w:rsidRPr="000B672D">
          <w:rPr>
            <w:rFonts w:ascii="Times New Roman" w:hAnsi="Times New Roman"/>
            <w:noProof/>
            <w:webHidden/>
            <w:sz w:val="24"/>
            <w:szCs w:val="24"/>
          </w:rPr>
          <w:t>84</w:t>
        </w:r>
        <w:r w:rsidRPr="000B672D">
          <w:rPr>
            <w:rFonts w:ascii="Times New Roman" w:hAnsi="Times New Roman"/>
            <w:noProof/>
            <w:webHidden/>
            <w:sz w:val="24"/>
            <w:szCs w:val="24"/>
          </w:rPr>
          <w:fldChar w:fldCharType="end"/>
        </w:r>
      </w:hyperlink>
    </w:p>
    <w:p w14:paraId="20F00ED0" w14:textId="77777777" w:rsidR="00413974" w:rsidRPr="000B672D" w:rsidRDefault="00413974">
      <w:pPr>
        <w:pStyle w:val="TOC2"/>
        <w:tabs>
          <w:tab w:val="right" w:leader="dot" w:pos="9350"/>
        </w:tabs>
        <w:rPr>
          <w:rFonts w:ascii="Times New Roman" w:eastAsiaTheme="minorEastAsia" w:hAnsi="Times New Roman"/>
          <w:b w:val="0"/>
          <w:bCs w:val="0"/>
          <w:noProof/>
          <w:snapToGrid/>
          <w:sz w:val="24"/>
          <w:szCs w:val="24"/>
        </w:rPr>
      </w:pPr>
      <w:hyperlink w:anchor="_Toc2778524" w:history="1">
        <w:r w:rsidRPr="000B672D">
          <w:rPr>
            <w:rStyle w:val="Hyperlink"/>
            <w:rFonts w:ascii="Times New Roman" w:hAnsi="Times New Roman"/>
            <w:noProof/>
            <w:sz w:val="24"/>
            <w:szCs w:val="24"/>
          </w:rPr>
          <w:t>F. Structure of the Securitization</w:t>
        </w:r>
        <w:r w:rsidRPr="000B672D">
          <w:rPr>
            <w:rFonts w:ascii="Times New Roman" w:hAnsi="Times New Roman"/>
            <w:noProof/>
            <w:webHidden/>
            <w:sz w:val="24"/>
            <w:szCs w:val="24"/>
          </w:rPr>
          <w:tab/>
        </w:r>
        <w:r w:rsidRPr="000B672D">
          <w:rPr>
            <w:rFonts w:ascii="Times New Roman" w:hAnsi="Times New Roman"/>
            <w:noProof/>
            <w:webHidden/>
            <w:sz w:val="24"/>
            <w:szCs w:val="24"/>
          </w:rPr>
          <w:fldChar w:fldCharType="begin"/>
        </w:r>
        <w:r w:rsidRPr="000B672D">
          <w:rPr>
            <w:rFonts w:ascii="Times New Roman" w:hAnsi="Times New Roman"/>
            <w:noProof/>
            <w:webHidden/>
            <w:sz w:val="24"/>
            <w:szCs w:val="24"/>
          </w:rPr>
          <w:instrText xml:space="preserve"> PAGEREF _Toc2778524 \h </w:instrText>
        </w:r>
        <w:r w:rsidRPr="000B672D">
          <w:rPr>
            <w:rFonts w:ascii="Times New Roman" w:hAnsi="Times New Roman"/>
            <w:noProof/>
            <w:webHidden/>
            <w:sz w:val="24"/>
            <w:szCs w:val="24"/>
          </w:rPr>
        </w:r>
        <w:r w:rsidRPr="000B672D">
          <w:rPr>
            <w:rFonts w:ascii="Times New Roman" w:hAnsi="Times New Roman"/>
            <w:noProof/>
            <w:webHidden/>
            <w:sz w:val="24"/>
            <w:szCs w:val="24"/>
          </w:rPr>
          <w:fldChar w:fldCharType="separate"/>
        </w:r>
        <w:r w:rsidRPr="000B672D">
          <w:rPr>
            <w:rFonts w:ascii="Times New Roman" w:hAnsi="Times New Roman"/>
            <w:noProof/>
            <w:webHidden/>
            <w:sz w:val="24"/>
            <w:szCs w:val="24"/>
          </w:rPr>
          <w:t>87</w:t>
        </w:r>
        <w:r w:rsidRPr="000B672D">
          <w:rPr>
            <w:rFonts w:ascii="Times New Roman" w:hAnsi="Times New Roman"/>
            <w:noProof/>
            <w:webHidden/>
            <w:sz w:val="24"/>
            <w:szCs w:val="24"/>
          </w:rPr>
          <w:fldChar w:fldCharType="end"/>
        </w:r>
      </w:hyperlink>
    </w:p>
    <w:p w14:paraId="3474FDCE" w14:textId="77777777" w:rsidR="00413974" w:rsidRPr="000B672D" w:rsidRDefault="00413974">
      <w:pPr>
        <w:pStyle w:val="TOC2"/>
        <w:tabs>
          <w:tab w:val="right" w:leader="dot" w:pos="9350"/>
        </w:tabs>
        <w:rPr>
          <w:rFonts w:ascii="Times New Roman" w:eastAsiaTheme="minorEastAsia" w:hAnsi="Times New Roman"/>
          <w:b w:val="0"/>
          <w:bCs w:val="0"/>
          <w:noProof/>
          <w:snapToGrid/>
          <w:sz w:val="24"/>
          <w:szCs w:val="24"/>
        </w:rPr>
      </w:pPr>
      <w:hyperlink w:anchor="_Toc2778525" w:history="1">
        <w:r w:rsidRPr="000B672D">
          <w:rPr>
            <w:rStyle w:val="Hyperlink"/>
            <w:rFonts w:ascii="Times New Roman" w:hAnsi="Times New Roman"/>
            <w:noProof/>
            <w:sz w:val="24"/>
            <w:szCs w:val="24"/>
          </w:rPr>
          <w:t>G. Use of Proceeds</w:t>
        </w:r>
        <w:r w:rsidRPr="000B672D">
          <w:rPr>
            <w:rFonts w:ascii="Times New Roman" w:hAnsi="Times New Roman"/>
            <w:noProof/>
            <w:webHidden/>
            <w:sz w:val="24"/>
            <w:szCs w:val="24"/>
          </w:rPr>
          <w:tab/>
        </w:r>
        <w:r w:rsidRPr="000B672D">
          <w:rPr>
            <w:rFonts w:ascii="Times New Roman" w:hAnsi="Times New Roman"/>
            <w:noProof/>
            <w:webHidden/>
            <w:sz w:val="24"/>
            <w:szCs w:val="24"/>
          </w:rPr>
          <w:fldChar w:fldCharType="begin"/>
        </w:r>
        <w:r w:rsidRPr="000B672D">
          <w:rPr>
            <w:rFonts w:ascii="Times New Roman" w:hAnsi="Times New Roman"/>
            <w:noProof/>
            <w:webHidden/>
            <w:sz w:val="24"/>
            <w:szCs w:val="24"/>
          </w:rPr>
          <w:instrText xml:space="preserve"> PAGEREF _Toc2778525 \h </w:instrText>
        </w:r>
        <w:r w:rsidRPr="000B672D">
          <w:rPr>
            <w:rFonts w:ascii="Times New Roman" w:hAnsi="Times New Roman"/>
            <w:noProof/>
            <w:webHidden/>
            <w:sz w:val="24"/>
            <w:szCs w:val="24"/>
          </w:rPr>
        </w:r>
        <w:r w:rsidRPr="000B672D">
          <w:rPr>
            <w:rFonts w:ascii="Times New Roman" w:hAnsi="Times New Roman"/>
            <w:noProof/>
            <w:webHidden/>
            <w:sz w:val="24"/>
            <w:szCs w:val="24"/>
          </w:rPr>
          <w:fldChar w:fldCharType="separate"/>
        </w:r>
        <w:r w:rsidRPr="000B672D">
          <w:rPr>
            <w:rFonts w:ascii="Times New Roman" w:hAnsi="Times New Roman"/>
            <w:noProof/>
            <w:webHidden/>
            <w:sz w:val="24"/>
            <w:szCs w:val="24"/>
          </w:rPr>
          <w:t>87</w:t>
        </w:r>
        <w:r w:rsidRPr="000B672D">
          <w:rPr>
            <w:rFonts w:ascii="Times New Roman" w:hAnsi="Times New Roman"/>
            <w:noProof/>
            <w:webHidden/>
            <w:sz w:val="24"/>
            <w:szCs w:val="24"/>
          </w:rPr>
          <w:fldChar w:fldCharType="end"/>
        </w:r>
      </w:hyperlink>
    </w:p>
    <w:p w14:paraId="0739A32D" w14:textId="77777777" w:rsidR="00413974" w:rsidRPr="000B672D" w:rsidRDefault="00413974">
      <w:pPr>
        <w:pStyle w:val="TOC2"/>
        <w:tabs>
          <w:tab w:val="right" w:leader="dot" w:pos="9350"/>
        </w:tabs>
        <w:rPr>
          <w:rFonts w:ascii="Times New Roman" w:eastAsiaTheme="minorEastAsia" w:hAnsi="Times New Roman"/>
          <w:b w:val="0"/>
          <w:bCs w:val="0"/>
          <w:noProof/>
          <w:snapToGrid/>
          <w:sz w:val="24"/>
          <w:szCs w:val="24"/>
        </w:rPr>
      </w:pPr>
      <w:hyperlink w:anchor="_Toc2778526" w:history="1">
        <w:r w:rsidRPr="000B672D">
          <w:rPr>
            <w:rStyle w:val="Hyperlink"/>
            <w:rFonts w:ascii="Times New Roman" w:hAnsi="Times New Roman"/>
            <w:noProof/>
            <w:sz w:val="24"/>
            <w:szCs w:val="24"/>
          </w:rPr>
          <w:t>H. Miscellaneous Provisions</w:t>
        </w:r>
        <w:r w:rsidRPr="000B672D">
          <w:rPr>
            <w:rFonts w:ascii="Times New Roman" w:hAnsi="Times New Roman"/>
            <w:noProof/>
            <w:webHidden/>
            <w:sz w:val="24"/>
            <w:szCs w:val="24"/>
          </w:rPr>
          <w:tab/>
        </w:r>
        <w:r w:rsidRPr="000B672D">
          <w:rPr>
            <w:rFonts w:ascii="Times New Roman" w:hAnsi="Times New Roman"/>
            <w:noProof/>
            <w:webHidden/>
            <w:sz w:val="24"/>
            <w:szCs w:val="24"/>
          </w:rPr>
          <w:fldChar w:fldCharType="begin"/>
        </w:r>
        <w:r w:rsidRPr="000B672D">
          <w:rPr>
            <w:rFonts w:ascii="Times New Roman" w:hAnsi="Times New Roman"/>
            <w:noProof/>
            <w:webHidden/>
            <w:sz w:val="24"/>
            <w:szCs w:val="24"/>
          </w:rPr>
          <w:instrText xml:space="preserve"> PAGEREF _Toc2778526 \h </w:instrText>
        </w:r>
        <w:r w:rsidRPr="000B672D">
          <w:rPr>
            <w:rFonts w:ascii="Times New Roman" w:hAnsi="Times New Roman"/>
            <w:noProof/>
            <w:webHidden/>
            <w:sz w:val="24"/>
            <w:szCs w:val="24"/>
          </w:rPr>
        </w:r>
        <w:r w:rsidRPr="000B672D">
          <w:rPr>
            <w:rFonts w:ascii="Times New Roman" w:hAnsi="Times New Roman"/>
            <w:noProof/>
            <w:webHidden/>
            <w:sz w:val="24"/>
            <w:szCs w:val="24"/>
          </w:rPr>
          <w:fldChar w:fldCharType="separate"/>
        </w:r>
        <w:r w:rsidRPr="000B672D">
          <w:rPr>
            <w:rFonts w:ascii="Times New Roman" w:hAnsi="Times New Roman"/>
            <w:noProof/>
            <w:webHidden/>
            <w:sz w:val="24"/>
            <w:szCs w:val="24"/>
          </w:rPr>
          <w:t>87</w:t>
        </w:r>
        <w:r w:rsidRPr="000B672D">
          <w:rPr>
            <w:rFonts w:ascii="Times New Roman" w:hAnsi="Times New Roman"/>
            <w:noProof/>
            <w:webHidden/>
            <w:sz w:val="24"/>
            <w:szCs w:val="24"/>
          </w:rPr>
          <w:fldChar w:fldCharType="end"/>
        </w:r>
      </w:hyperlink>
    </w:p>
    <w:p w14:paraId="460C7C60" w14:textId="41F2ED60" w:rsidR="003631D6" w:rsidRPr="00BD2206" w:rsidRDefault="00413974" w:rsidP="003631D6">
      <w:pPr>
        <w:pStyle w:val="BodyText"/>
        <w:ind w:firstLine="0"/>
        <w:jc w:val="center"/>
        <w:rPr>
          <w:b/>
        </w:rPr>
      </w:pPr>
      <w:r w:rsidRPr="000B672D">
        <w:rPr>
          <w:caps/>
          <w:szCs w:val="24"/>
        </w:rPr>
        <w:fldChar w:fldCharType="end"/>
      </w:r>
    </w:p>
    <w:p w14:paraId="680C4664" w14:textId="77777777" w:rsidR="003631D6" w:rsidRPr="00BD2206" w:rsidRDefault="003631D6" w:rsidP="007E73FC">
      <w:pPr>
        <w:spacing w:line="480" w:lineRule="auto"/>
      </w:pPr>
      <w:bookmarkStart w:id="3" w:name="_Toc89613508"/>
      <w:bookmarkStart w:id="4" w:name="_Toc97441685"/>
      <w:bookmarkStart w:id="5" w:name="_Toc97441841"/>
      <w:bookmarkStart w:id="6" w:name="_Toc97469476"/>
      <w:bookmarkStart w:id="7" w:name="_Toc97535642"/>
      <w:bookmarkStart w:id="8" w:name="_Toc97536587"/>
      <w:bookmarkStart w:id="9" w:name="_Toc127163364"/>
      <w:bookmarkStart w:id="10" w:name="_Toc129070476"/>
      <w:r w:rsidRPr="00BD2206">
        <w:t>Appendix A</w:t>
      </w:r>
      <w:r w:rsidRPr="00BD2206">
        <w:tab/>
        <w:t>Form of Issuance Advice Letter</w:t>
      </w:r>
      <w:bookmarkEnd w:id="3"/>
      <w:bookmarkEnd w:id="4"/>
      <w:bookmarkEnd w:id="5"/>
      <w:bookmarkEnd w:id="6"/>
      <w:bookmarkEnd w:id="7"/>
      <w:bookmarkEnd w:id="8"/>
      <w:bookmarkEnd w:id="9"/>
      <w:bookmarkEnd w:id="10"/>
    </w:p>
    <w:p w14:paraId="39F54A29" w14:textId="4176E3E8" w:rsidR="003631D6" w:rsidRPr="00BD2206" w:rsidRDefault="003631D6" w:rsidP="007E73FC">
      <w:pPr>
        <w:spacing w:line="480" w:lineRule="auto"/>
      </w:pPr>
      <w:bookmarkStart w:id="11" w:name="_Toc89613509"/>
      <w:bookmarkStart w:id="12" w:name="_Toc97441686"/>
      <w:bookmarkStart w:id="13" w:name="_Toc97441842"/>
      <w:bookmarkStart w:id="14" w:name="_Toc97469344"/>
      <w:bookmarkStart w:id="15" w:name="_Toc97469477"/>
      <w:bookmarkStart w:id="16" w:name="_Toc97535643"/>
      <w:bookmarkStart w:id="17" w:name="_Toc97536588"/>
      <w:bookmarkStart w:id="18" w:name="_Toc127163365"/>
      <w:bookmarkStart w:id="19" w:name="_Toc129070477"/>
      <w:r w:rsidRPr="00BD2206">
        <w:t>Appendix B</w:t>
      </w:r>
      <w:r w:rsidRPr="00BD2206">
        <w:tab/>
        <w:t xml:space="preserve">Form of Tariff (Schedule </w:t>
      </w:r>
      <w:r w:rsidR="00300702" w:rsidRPr="00BD2206">
        <w:t>SRC</w:t>
      </w:r>
      <w:r w:rsidRPr="00BD2206">
        <w:t xml:space="preserve"> and Rider </w:t>
      </w:r>
      <w:r w:rsidR="00300702" w:rsidRPr="00BD2206">
        <w:t>SRC</w:t>
      </w:r>
      <w:r w:rsidRPr="00BD2206">
        <w:t>)</w:t>
      </w:r>
      <w:bookmarkEnd w:id="11"/>
      <w:bookmarkEnd w:id="12"/>
      <w:bookmarkEnd w:id="13"/>
      <w:bookmarkEnd w:id="14"/>
      <w:bookmarkEnd w:id="15"/>
      <w:bookmarkEnd w:id="16"/>
      <w:bookmarkEnd w:id="17"/>
      <w:bookmarkEnd w:id="18"/>
      <w:bookmarkEnd w:id="19"/>
    </w:p>
    <w:p w14:paraId="122AECF3" w14:textId="77777777" w:rsidR="003631D6" w:rsidRPr="00BD2206" w:rsidRDefault="007E73FC" w:rsidP="007E73FC">
      <w:pPr>
        <w:spacing w:line="480" w:lineRule="auto"/>
      </w:pPr>
      <w:bookmarkStart w:id="20" w:name="_Toc89613510"/>
      <w:bookmarkStart w:id="21" w:name="_Toc97441687"/>
      <w:bookmarkStart w:id="22" w:name="_Toc97441843"/>
      <w:bookmarkStart w:id="23" w:name="_Toc97469345"/>
      <w:bookmarkStart w:id="24" w:name="_Toc97469478"/>
      <w:bookmarkStart w:id="25" w:name="_Toc97535644"/>
      <w:bookmarkStart w:id="26" w:name="_Toc97536589"/>
      <w:bookmarkStart w:id="27" w:name="_Toc127163366"/>
      <w:bookmarkStart w:id="28" w:name="_Toc129070478"/>
      <w:r w:rsidRPr="00BD2206">
        <w:t>Appendix C</w:t>
      </w:r>
      <w:r w:rsidRPr="00BD2206">
        <w:tab/>
      </w:r>
      <w:r w:rsidR="003631D6" w:rsidRPr="00BD2206">
        <w:t xml:space="preserve">Projected </w:t>
      </w:r>
      <w:r w:rsidR="00300702" w:rsidRPr="00BD2206">
        <w:t xml:space="preserve">Up-Front and </w:t>
      </w:r>
      <w:r w:rsidR="003631D6" w:rsidRPr="00BD2206">
        <w:t>Ongoing Qualified Costs</w:t>
      </w:r>
      <w:bookmarkEnd w:id="20"/>
      <w:bookmarkEnd w:id="21"/>
      <w:bookmarkEnd w:id="22"/>
      <w:bookmarkEnd w:id="23"/>
      <w:bookmarkEnd w:id="24"/>
      <w:bookmarkEnd w:id="25"/>
      <w:bookmarkEnd w:id="26"/>
      <w:bookmarkEnd w:id="27"/>
      <w:bookmarkEnd w:id="28"/>
    </w:p>
    <w:p w14:paraId="13D0E8E4" w14:textId="77777777" w:rsidR="003631D6" w:rsidRPr="00BD2206" w:rsidRDefault="003631D6" w:rsidP="007E73FC">
      <w:pPr>
        <w:spacing w:line="480" w:lineRule="auto"/>
      </w:pPr>
      <w:bookmarkStart w:id="29" w:name="_Toc127163367"/>
      <w:bookmarkStart w:id="30" w:name="_Toc129070479"/>
      <w:r w:rsidRPr="00BD2206">
        <w:t>Appendix D</w:t>
      </w:r>
      <w:r w:rsidRPr="00BD2206">
        <w:tab/>
      </w:r>
      <w:bookmarkEnd w:id="29"/>
      <w:bookmarkEnd w:id="30"/>
      <w:r w:rsidR="00300702" w:rsidRPr="00BD2206">
        <w:t>ADFIT Credit Tariff</w:t>
      </w:r>
    </w:p>
    <w:p w14:paraId="508338A9" w14:textId="77777777" w:rsidR="00300702" w:rsidRPr="00BD2206" w:rsidRDefault="00300702" w:rsidP="007E73FC">
      <w:pPr>
        <w:spacing w:line="480" w:lineRule="auto"/>
      </w:pPr>
      <w:r w:rsidRPr="00BD2206">
        <w:t xml:space="preserve">Appendix E </w:t>
      </w:r>
      <w:r w:rsidRPr="00BD2206">
        <w:tab/>
        <w:t>Billing Thresholds to Determine Whether a Non-Standard True-up is Triggered</w:t>
      </w:r>
    </w:p>
    <w:p w14:paraId="55219052" w14:textId="77777777" w:rsidR="003631D6" w:rsidRPr="00BD2206" w:rsidRDefault="003631D6" w:rsidP="003631D6">
      <w:pPr>
        <w:pStyle w:val="BodyText"/>
      </w:pPr>
    </w:p>
    <w:p w14:paraId="03AA8D55" w14:textId="77777777" w:rsidR="003631D6" w:rsidRPr="00BD2206" w:rsidRDefault="003631D6" w:rsidP="003631D6">
      <w:pPr>
        <w:rPr>
          <w:b/>
        </w:rPr>
        <w:sectPr w:rsidR="003631D6" w:rsidRPr="00BD2206" w:rsidSect="003540D9">
          <w:headerReference w:type="even" r:id="rId11"/>
          <w:headerReference w:type="default" r:id="rId12"/>
          <w:footerReference w:type="even" r:id="rId13"/>
          <w:footerReference w:type="default" r:id="rId14"/>
          <w:headerReference w:type="first" r:id="rId15"/>
          <w:footerReference w:type="first" r:id="rId16"/>
          <w:pgSz w:w="12240" w:h="15840" w:code="1"/>
          <w:pgMar w:top="1440" w:right="1440" w:bottom="1440" w:left="1440" w:header="720" w:footer="720" w:gutter="0"/>
          <w:paperSrc w:first="7" w:other="7"/>
          <w:pgNumType w:fmt="lowerRoman" w:start="1"/>
          <w:cols w:space="720"/>
          <w:titlePg/>
          <w:docGrid w:linePitch="360"/>
        </w:sectPr>
      </w:pPr>
    </w:p>
    <w:p w14:paraId="40FCACCD" w14:textId="77777777" w:rsidR="003631D6" w:rsidRPr="00BD2206" w:rsidRDefault="003631D6" w:rsidP="003631D6">
      <w:pPr>
        <w:jc w:val="center"/>
        <w:rPr>
          <w:b/>
          <w:caps/>
        </w:rPr>
      </w:pPr>
      <w:bookmarkStart w:id="31" w:name="_Toc97441690"/>
      <w:bookmarkStart w:id="32" w:name="_Toc97441846"/>
      <w:bookmarkStart w:id="33" w:name="_Toc97469348"/>
      <w:bookmarkStart w:id="34" w:name="_Toc97469481"/>
      <w:bookmarkStart w:id="35" w:name="_Toc97535647"/>
      <w:bookmarkStart w:id="36" w:name="_Toc97536592"/>
      <w:r w:rsidRPr="00BD2206">
        <w:rPr>
          <w:b/>
          <w:caps/>
        </w:rPr>
        <w:lastRenderedPageBreak/>
        <w:t xml:space="preserve">Docket No. </w:t>
      </w:r>
      <w:r w:rsidR="00300702" w:rsidRPr="00BD2206">
        <w:rPr>
          <w:b/>
          <w:caps/>
        </w:rPr>
        <w:t>_______</w:t>
      </w:r>
    </w:p>
    <w:p w14:paraId="387E13C8" w14:textId="77777777" w:rsidR="003631D6" w:rsidRPr="00BD2206" w:rsidRDefault="003631D6" w:rsidP="003631D6">
      <w:pPr>
        <w:jc w:val="center"/>
        <w:rPr>
          <w:b/>
          <w:caps/>
        </w:rPr>
      </w:pPr>
    </w:p>
    <w:tbl>
      <w:tblPr>
        <w:tblW w:w="0" w:type="auto"/>
        <w:jc w:val="center"/>
        <w:tblLayout w:type="fixed"/>
        <w:tblLook w:val="01E0" w:firstRow="1" w:lastRow="1" w:firstColumn="1" w:lastColumn="1" w:noHBand="0" w:noVBand="0"/>
      </w:tblPr>
      <w:tblGrid>
        <w:gridCol w:w="4493"/>
        <w:gridCol w:w="360"/>
        <w:gridCol w:w="4493"/>
      </w:tblGrid>
      <w:tr w:rsidR="003631D6" w:rsidRPr="00BD2206" w14:paraId="74568337" w14:textId="77777777" w:rsidTr="003540D9">
        <w:trPr>
          <w:jc w:val="center"/>
        </w:trPr>
        <w:tc>
          <w:tcPr>
            <w:tcW w:w="4493" w:type="dxa"/>
          </w:tcPr>
          <w:p w14:paraId="57C9BB4B" w14:textId="77777777" w:rsidR="003631D6" w:rsidRPr="00BD2206" w:rsidRDefault="003631D6" w:rsidP="00864A80">
            <w:pPr>
              <w:rPr>
                <w:b/>
                <w:caps/>
              </w:rPr>
            </w:pPr>
            <w:r w:rsidRPr="00BD2206">
              <w:rPr>
                <w:b/>
                <w:caps/>
              </w:rPr>
              <w:t xml:space="preserve">Application of AEP TEXAS </w:t>
            </w:r>
            <w:r w:rsidR="00300702" w:rsidRPr="00BD2206">
              <w:rPr>
                <w:b/>
                <w:caps/>
              </w:rPr>
              <w:t>INC.</w:t>
            </w:r>
            <w:r w:rsidRPr="00BD2206">
              <w:rPr>
                <w:b/>
                <w:caps/>
              </w:rPr>
              <w:t xml:space="preserve">  for A Financing Order</w:t>
            </w:r>
          </w:p>
        </w:tc>
        <w:tc>
          <w:tcPr>
            <w:tcW w:w="360" w:type="dxa"/>
          </w:tcPr>
          <w:p w14:paraId="71230BB4" w14:textId="77777777" w:rsidR="003631D6" w:rsidRPr="00BD2206" w:rsidRDefault="003631D6" w:rsidP="003540D9">
            <w:pPr>
              <w:rPr>
                <w:b/>
              </w:rPr>
            </w:pPr>
            <w:r w:rsidRPr="00BD2206">
              <w:rPr>
                <w:b/>
              </w:rPr>
              <w:t>§</w:t>
            </w:r>
          </w:p>
          <w:p w14:paraId="6884E1F6" w14:textId="77777777" w:rsidR="003631D6" w:rsidRPr="00BD2206" w:rsidRDefault="003631D6" w:rsidP="003540D9">
            <w:pPr>
              <w:rPr>
                <w:b/>
              </w:rPr>
            </w:pPr>
            <w:r w:rsidRPr="00BD2206">
              <w:rPr>
                <w:b/>
              </w:rPr>
              <w:t>§</w:t>
            </w:r>
          </w:p>
          <w:p w14:paraId="4CDD9805" w14:textId="77777777" w:rsidR="003631D6" w:rsidRPr="00BD2206" w:rsidRDefault="003631D6" w:rsidP="003540D9">
            <w:pPr>
              <w:rPr>
                <w:b/>
              </w:rPr>
            </w:pPr>
            <w:r w:rsidRPr="00BD2206">
              <w:rPr>
                <w:b/>
              </w:rPr>
              <w:t>§</w:t>
            </w:r>
          </w:p>
        </w:tc>
        <w:tc>
          <w:tcPr>
            <w:tcW w:w="4493" w:type="dxa"/>
          </w:tcPr>
          <w:p w14:paraId="6C1DE91B" w14:textId="77777777" w:rsidR="003631D6" w:rsidRPr="00BD2206" w:rsidRDefault="003631D6" w:rsidP="003540D9">
            <w:pPr>
              <w:jc w:val="center"/>
              <w:rPr>
                <w:b/>
                <w:caps/>
              </w:rPr>
            </w:pPr>
            <w:r w:rsidRPr="00BD2206">
              <w:rPr>
                <w:b/>
                <w:caps/>
              </w:rPr>
              <w:t>Public Utility Commission</w:t>
            </w:r>
          </w:p>
          <w:p w14:paraId="5284A339" w14:textId="77777777" w:rsidR="003631D6" w:rsidRPr="00BD2206" w:rsidRDefault="003631D6" w:rsidP="003540D9">
            <w:pPr>
              <w:jc w:val="center"/>
              <w:rPr>
                <w:b/>
                <w:caps/>
              </w:rPr>
            </w:pPr>
          </w:p>
          <w:p w14:paraId="4576A9A2" w14:textId="77777777" w:rsidR="003631D6" w:rsidRPr="00BD2206" w:rsidRDefault="003631D6" w:rsidP="003540D9">
            <w:pPr>
              <w:jc w:val="center"/>
            </w:pPr>
            <w:r w:rsidRPr="00BD2206">
              <w:rPr>
                <w:b/>
                <w:caps/>
              </w:rPr>
              <w:t xml:space="preserve">of </w:t>
            </w:r>
            <w:smartTag w:uri="urn:schemas-microsoft-com:office:smarttags" w:element="State">
              <w:smartTag w:uri="urn:schemas-microsoft-com:office:smarttags" w:element="place">
                <w:r w:rsidRPr="00BD2206">
                  <w:rPr>
                    <w:b/>
                    <w:caps/>
                  </w:rPr>
                  <w:t>Texas</w:t>
                </w:r>
              </w:smartTag>
            </w:smartTag>
          </w:p>
        </w:tc>
      </w:tr>
    </w:tbl>
    <w:p w14:paraId="35F4CD3E" w14:textId="77777777" w:rsidR="003631D6" w:rsidRPr="00BD2206" w:rsidRDefault="003631D6" w:rsidP="005F1EE2">
      <w:pPr>
        <w:pStyle w:val="Title"/>
      </w:pPr>
      <w:bookmarkStart w:id="37" w:name="_Toc127163368"/>
      <w:bookmarkStart w:id="38" w:name="_Toc129070480"/>
      <w:r w:rsidRPr="00BD2206">
        <w:t>FINANCING ORDER</w:t>
      </w:r>
      <w:bookmarkEnd w:id="31"/>
      <w:bookmarkEnd w:id="32"/>
      <w:bookmarkEnd w:id="33"/>
      <w:bookmarkEnd w:id="34"/>
      <w:bookmarkEnd w:id="35"/>
      <w:bookmarkEnd w:id="36"/>
      <w:bookmarkEnd w:id="37"/>
      <w:bookmarkEnd w:id="38"/>
    </w:p>
    <w:p w14:paraId="0B728B88" w14:textId="5947D6E4" w:rsidR="003631D6" w:rsidRPr="00BD2206" w:rsidRDefault="003631D6" w:rsidP="003631D6">
      <w:pPr>
        <w:pStyle w:val="BodyText"/>
        <w:rPr>
          <w:color w:val="000000" w:themeColor="text1"/>
        </w:rPr>
      </w:pPr>
      <w:bookmarkStart w:id="39" w:name="_Toc83701832"/>
      <w:bookmarkStart w:id="40" w:name="_Toc83702502"/>
      <w:bookmarkStart w:id="41" w:name="_Toc83702947"/>
      <w:bookmarkStart w:id="42" w:name="_Toc83703681"/>
      <w:bookmarkStart w:id="43" w:name="_Toc88378106"/>
      <w:r w:rsidRPr="00BD2206">
        <w:t xml:space="preserve">This Financing Order addresses the application of AEP Texas </w:t>
      </w:r>
      <w:r w:rsidR="00300702" w:rsidRPr="00BD2206">
        <w:t>Inc.</w:t>
      </w:r>
      <w:r w:rsidRPr="00BD2206">
        <w:t xml:space="preserve"> (</w:t>
      </w:r>
      <w:r w:rsidR="00300702" w:rsidRPr="00BD2206">
        <w:t>AEP Texas</w:t>
      </w:r>
      <w:r w:rsidRPr="00BD2206">
        <w:t xml:space="preserve">) under Subchapter </w:t>
      </w:r>
      <w:r w:rsidR="00300702" w:rsidRPr="00BD2206">
        <w:t>I of Chapter 36</w:t>
      </w:r>
      <w:r w:rsidR="00300702" w:rsidRPr="00BD2206">
        <w:rPr>
          <w:rStyle w:val="FootnoteReference"/>
        </w:rPr>
        <w:footnoteReference w:id="1"/>
      </w:r>
      <w:r w:rsidR="00300702" w:rsidRPr="00BD2206">
        <w:t xml:space="preserve"> and Subchapter </w:t>
      </w:r>
      <w:r w:rsidRPr="00BD2206">
        <w:t>G of Chapter 39</w:t>
      </w:r>
      <w:r w:rsidR="002B5C4C" w:rsidRPr="00BD2206">
        <w:rPr>
          <w:rStyle w:val="FootnoteReference"/>
        </w:rPr>
        <w:footnoteReference w:id="2"/>
      </w:r>
      <w:r w:rsidRPr="00BD2206">
        <w:t xml:space="preserve"> of the Public Utility Regulatory Act</w:t>
      </w:r>
      <w:bookmarkEnd w:id="39"/>
      <w:bookmarkEnd w:id="40"/>
      <w:bookmarkEnd w:id="41"/>
      <w:bookmarkEnd w:id="42"/>
      <w:bookmarkEnd w:id="43"/>
      <w:r w:rsidRPr="00BD2206">
        <w:rPr>
          <w:rStyle w:val="FootnoteReference"/>
        </w:rPr>
        <w:footnoteReference w:id="3"/>
      </w:r>
      <w:r w:rsidR="00300702" w:rsidRPr="00BD2206">
        <w:t xml:space="preserve"> (PURA)</w:t>
      </w:r>
      <w:r w:rsidRPr="00BD2206">
        <w:t xml:space="preserve">: (1) to securitize the </w:t>
      </w:r>
      <w:bookmarkStart w:id="44" w:name="_cp_text_1_89"/>
      <w:r w:rsidR="006D334C" w:rsidRPr="00BD2206">
        <w:rPr>
          <w:color w:val="000000" w:themeColor="text1"/>
          <w:u w:color="0000FF"/>
        </w:rPr>
        <w:t>balance of distribution-related system restoration costs</w:t>
      </w:r>
      <w:bookmarkStart w:id="45" w:name="_cp_text_1_91"/>
      <w:bookmarkEnd w:id="44"/>
      <w:r w:rsidR="009B66A3" w:rsidRPr="00BD2206">
        <w:rPr>
          <w:color w:val="000000" w:themeColor="text1"/>
          <w:u w:color="0000FF"/>
        </w:rPr>
        <w:t xml:space="preserve"> and</w:t>
      </w:r>
      <w:r w:rsidR="009B66A3" w:rsidRPr="00BD2206">
        <w:rPr>
          <w:color w:val="000000" w:themeColor="text1"/>
        </w:rPr>
        <w:t xml:space="preserve"> </w:t>
      </w:r>
      <w:r w:rsidR="006D334C" w:rsidRPr="00BD2206">
        <w:rPr>
          <w:color w:val="000000" w:themeColor="text1"/>
          <w:u w:color="0000FF"/>
        </w:rPr>
        <w:t>carrying</w:t>
      </w:r>
      <w:bookmarkStart w:id="46" w:name="_cp_text_1_90"/>
      <w:r w:rsidR="006D334C" w:rsidRPr="00BD2206">
        <w:rPr>
          <w:color w:val="000000" w:themeColor="text1"/>
        </w:rPr>
        <w:t xml:space="preserve"> </w:t>
      </w:r>
      <w:bookmarkStart w:id="47" w:name="_cp_text_1_92"/>
      <w:bookmarkEnd w:id="45"/>
      <w:r w:rsidR="006D334C" w:rsidRPr="00BD2206">
        <w:rPr>
          <w:color w:val="000000" w:themeColor="text1"/>
          <w:u w:color="0000FF"/>
        </w:rPr>
        <w:t xml:space="preserve">costs </w:t>
      </w:r>
      <w:bookmarkStart w:id="48" w:name="_cp_text_4_93"/>
      <w:bookmarkEnd w:id="47"/>
      <w:r w:rsidR="006D334C" w:rsidRPr="00BD2206">
        <w:rPr>
          <w:color w:val="000000" w:themeColor="text1"/>
          <w:u w:color="008000"/>
        </w:rPr>
        <w:t xml:space="preserve">as determined by the </w:t>
      </w:r>
      <w:r w:rsidR="00DC7967" w:rsidRPr="00BD2206">
        <w:rPr>
          <w:color w:val="000000" w:themeColor="text1"/>
          <w:u w:color="008000"/>
        </w:rPr>
        <w:t>F</w:t>
      </w:r>
      <w:r w:rsidR="006D334C" w:rsidRPr="00BD2206">
        <w:rPr>
          <w:color w:val="000000" w:themeColor="text1"/>
          <w:u w:color="008000"/>
        </w:rPr>
        <w:t xml:space="preserve">inal </w:t>
      </w:r>
      <w:r w:rsidR="00DC7967" w:rsidRPr="00BD2206">
        <w:rPr>
          <w:color w:val="000000" w:themeColor="text1"/>
          <w:u w:color="008000"/>
        </w:rPr>
        <w:t>O</w:t>
      </w:r>
      <w:r w:rsidR="006D334C" w:rsidRPr="00BD2206">
        <w:rPr>
          <w:color w:val="000000" w:themeColor="text1"/>
          <w:u w:color="008000"/>
        </w:rPr>
        <w:t xml:space="preserve">rder issued on </w:t>
      </w:r>
      <w:r w:rsidR="00BD2206" w:rsidRPr="00BD2206">
        <w:rPr>
          <w:color w:val="000000" w:themeColor="text1"/>
          <w:u w:color="008000"/>
        </w:rPr>
        <w:t>February 28, 2019</w:t>
      </w:r>
      <w:r w:rsidR="006D334C" w:rsidRPr="00BD2206">
        <w:rPr>
          <w:color w:val="000000" w:themeColor="text1"/>
          <w:u w:color="008000"/>
        </w:rPr>
        <w:t xml:space="preserve"> in Docket No. 48577</w:t>
      </w:r>
      <w:bookmarkStart w:id="49" w:name="_cp_text_28_94"/>
      <w:bookmarkEnd w:id="48"/>
      <w:r w:rsidR="006D334C" w:rsidRPr="00BD2206">
        <w:rPr>
          <w:color w:val="000000" w:themeColor="text1"/>
          <w:u w:color="008000"/>
        </w:rPr>
        <w:t>,</w:t>
      </w:r>
      <w:r w:rsidR="006D334C" w:rsidRPr="00BD2206">
        <w:rPr>
          <w:rStyle w:val="FootnoteReference"/>
          <w:color w:val="000000" w:themeColor="text1"/>
          <w:u w:color="0000FF"/>
        </w:rPr>
        <w:footnoteReference w:id="4"/>
      </w:r>
      <w:bookmarkStart w:id="52" w:name="_cp_text_1_97"/>
      <w:bookmarkEnd w:id="46"/>
      <w:bookmarkEnd w:id="49"/>
      <w:r w:rsidR="006D334C" w:rsidRPr="00BD2206">
        <w:rPr>
          <w:color w:val="000000" w:themeColor="text1"/>
          <w:u w:color="0000FF"/>
        </w:rPr>
        <w:t xml:space="preserve"> (i</w:t>
      </w:r>
      <w:bookmarkStart w:id="53" w:name="_cp_text_4_98"/>
      <w:bookmarkEnd w:id="52"/>
      <w:r w:rsidR="006D334C" w:rsidRPr="00BD2206">
        <w:rPr>
          <w:color w:val="000000" w:themeColor="text1"/>
          <w:u w:color="008000"/>
        </w:rPr>
        <w:t xml:space="preserve">) </w:t>
      </w:r>
      <w:r w:rsidR="00D925BC" w:rsidRPr="00BD2206">
        <w:rPr>
          <w:color w:val="000000" w:themeColor="text1"/>
          <w:u w:color="0000FF"/>
        </w:rPr>
        <w:t>net of</w:t>
      </w:r>
      <w:r w:rsidR="00D925BC" w:rsidRPr="00BD2206">
        <w:rPr>
          <w:color w:val="000000" w:themeColor="text1"/>
          <w:u w:color="008000"/>
        </w:rPr>
        <w:t xml:space="preserve"> </w:t>
      </w:r>
      <w:r w:rsidR="006D334C" w:rsidRPr="00BD2206">
        <w:rPr>
          <w:color w:val="000000" w:themeColor="text1"/>
          <w:u w:color="008000"/>
        </w:rPr>
        <w:t xml:space="preserve">all insurance proceeds, government grants, </w:t>
      </w:r>
      <w:bookmarkStart w:id="54" w:name="_cp_text_1_99"/>
      <w:bookmarkEnd w:id="53"/>
      <w:r w:rsidR="006D334C" w:rsidRPr="00BD2206">
        <w:rPr>
          <w:color w:val="000000" w:themeColor="text1"/>
          <w:u w:color="0000FF"/>
        </w:rPr>
        <w:t>and</w:t>
      </w:r>
      <w:r w:rsidR="006D334C" w:rsidRPr="00BD2206">
        <w:rPr>
          <w:color w:val="000000" w:themeColor="text1"/>
        </w:rPr>
        <w:t xml:space="preserve"> </w:t>
      </w:r>
      <w:bookmarkStart w:id="55" w:name="_cp_text_4_100"/>
      <w:bookmarkEnd w:id="54"/>
      <w:r w:rsidR="006D334C" w:rsidRPr="00BD2206">
        <w:rPr>
          <w:color w:val="000000" w:themeColor="text1"/>
          <w:u w:color="008000"/>
        </w:rPr>
        <w:t xml:space="preserve">other sources of funding </w:t>
      </w:r>
      <w:bookmarkStart w:id="56" w:name="_cp_text_4_101"/>
      <w:bookmarkEnd w:id="55"/>
      <w:r w:rsidR="006D334C" w:rsidRPr="00BD2206">
        <w:rPr>
          <w:color w:val="000000" w:themeColor="text1"/>
          <w:u w:color="008000"/>
        </w:rPr>
        <w:t>as</w:t>
      </w:r>
      <w:r w:rsidR="00CA24F5" w:rsidRPr="00BD2206">
        <w:rPr>
          <w:color w:val="000000" w:themeColor="text1"/>
          <w:u w:color="008000"/>
        </w:rPr>
        <w:t xml:space="preserve"> determined in Docket No. 48577</w:t>
      </w:r>
      <w:r w:rsidR="006D334C" w:rsidRPr="00BD2206">
        <w:rPr>
          <w:color w:val="000000" w:themeColor="text1"/>
          <w:u w:color="008000"/>
        </w:rPr>
        <w:t xml:space="preserve"> that compensate AEP Texas for the distribution-related system restoration costs</w:t>
      </w:r>
      <w:r w:rsidR="006D334C" w:rsidRPr="00BD2206">
        <w:rPr>
          <w:color w:val="000000" w:themeColor="text1"/>
        </w:rPr>
        <w:t xml:space="preserve"> </w:t>
      </w:r>
      <w:r w:rsidR="006D334C" w:rsidRPr="00BD2206">
        <w:rPr>
          <w:color w:val="000000" w:themeColor="text1"/>
          <w:u w:color="008000"/>
        </w:rPr>
        <w:t>received by AEP Texas at the time of the application for this Financing Order</w:t>
      </w:r>
      <w:bookmarkStart w:id="57" w:name="_cp_text_1_128"/>
      <w:r w:rsidR="002F10F9" w:rsidRPr="00BD2206">
        <w:rPr>
          <w:color w:val="000000" w:themeColor="text1"/>
          <w:u w:color="008000"/>
        </w:rPr>
        <w:t>,</w:t>
      </w:r>
      <w:bookmarkEnd w:id="57"/>
      <w:r w:rsidR="006D334C" w:rsidRPr="00BD2206">
        <w:rPr>
          <w:color w:val="000000" w:themeColor="text1"/>
          <w:u w:color="008000"/>
        </w:rPr>
        <w:t xml:space="preserve"> and (</w:t>
      </w:r>
      <w:bookmarkStart w:id="58" w:name="_cp_text_1_102"/>
      <w:bookmarkEnd w:id="56"/>
      <w:r w:rsidR="006D334C" w:rsidRPr="00BD2206">
        <w:rPr>
          <w:color w:val="000000" w:themeColor="text1"/>
          <w:u w:color="0000FF"/>
        </w:rPr>
        <w:t>ii</w:t>
      </w:r>
      <w:bookmarkStart w:id="59" w:name="_cp_text_4_103"/>
      <w:bookmarkEnd w:id="58"/>
      <w:r w:rsidR="006D334C" w:rsidRPr="00BD2206">
        <w:rPr>
          <w:color w:val="000000" w:themeColor="text1"/>
          <w:u w:color="008000"/>
        </w:rPr>
        <w:t xml:space="preserve">) a further offset utilizing certain prescribed excess unprotected ADFIT, </w:t>
      </w:r>
      <w:bookmarkStart w:id="60" w:name="_cp_text_1_104"/>
      <w:bookmarkEnd w:id="59"/>
      <w:r w:rsidR="006D334C" w:rsidRPr="00BD2206">
        <w:rPr>
          <w:color w:val="000000" w:themeColor="text1"/>
          <w:u w:color="0000FF"/>
        </w:rPr>
        <w:t>all</w:t>
      </w:r>
      <w:r w:rsidR="006D334C" w:rsidRPr="00BD2206">
        <w:rPr>
          <w:color w:val="000000" w:themeColor="text1"/>
        </w:rPr>
        <w:t xml:space="preserve"> </w:t>
      </w:r>
      <w:bookmarkStart w:id="61" w:name="_cp_text_4_105"/>
      <w:bookmarkEnd w:id="60"/>
      <w:r w:rsidR="006D334C" w:rsidRPr="00BD2206">
        <w:rPr>
          <w:color w:val="000000" w:themeColor="text1"/>
          <w:u w:color="008000"/>
        </w:rPr>
        <w:t xml:space="preserve">as determined in Docket No. </w:t>
      </w:r>
      <w:bookmarkStart w:id="62" w:name="_cp_text_1_106"/>
      <w:bookmarkEnd w:id="61"/>
      <w:r w:rsidR="006D334C" w:rsidRPr="00BD2206">
        <w:rPr>
          <w:color w:val="000000" w:themeColor="text1"/>
          <w:u w:color="0000FF"/>
        </w:rPr>
        <w:t>48577</w:t>
      </w:r>
      <w:r w:rsidR="006D334C" w:rsidRPr="00BD2206">
        <w:rPr>
          <w:color w:val="000000" w:themeColor="text1"/>
        </w:rPr>
        <w:t xml:space="preserve"> </w:t>
      </w:r>
      <w:bookmarkEnd w:id="62"/>
      <w:r w:rsidR="006D334C" w:rsidRPr="00BD2206">
        <w:rPr>
          <w:color w:val="000000" w:themeColor="text1"/>
          <w:u w:color="0000FF"/>
        </w:rPr>
        <w:t>(such balance, the “</w:t>
      </w:r>
      <w:proofErr w:type="spellStart"/>
      <w:r w:rsidR="00A76DBC" w:rsidRPr="00BD2206">
        <w:rPr>
          <w:color w:val="000000" w:themeColor="text1"/>
        </w:rPr>
        <w:t>Securitizable</w:t>
      </w:r>
      <w:proofErr w:type="spellEnd"/>
      <w:r w:rsidR="00A76DBC" w:rsidRPr="00BD2206">
        <w:rPr>
          <w:color w:val="000000" w:themeColor="text1"/>
        </w:rPr>
        <w:t xml:space="preserve"> Balance</w:t>
      </w:r>
      <w:r w:rsidR="006D334C" w:rsidRPr="00BD2206">
        <w:rPr>
          <w:color w:val="000000" w:themeColor="text1"/>
        </w:rPr>
        <w:t>”)</w:t>
      </w:r>
      <w:r w:rsidR="00A76DBC" w:rsidRPr="00BD2206">
        <w:rPr>
          <w:color w:val="000000" w:themeColor="text1"/>
        </w:rPr>
        <w:t xml:space="preserve">, </w:t>
      </w:r>
      <w:r w:rsidR="006D334C" w:rsidRPr="00BD2206">
        <w:rPr>
          <w:color w:val="000000" w:themeColor="text1"/>
        </w:rPr>
        <w:t xml:space="preserve">(2) to securitize certain </w:t>
      </w:r>
      <w:r w:rsidR="00A76DBC" w:rsidRPr="00BD2206">
        <w:rPr>
          <w:color w:val="000000" w:themeColor="text1"/>
        </w:rPr>
        <w:t>other up-front qualified costs</w:t>
      </w:r>
      <w:r w:rsidR="006D334C" w:rsidRPr="00BD2206">
        <w:rPr>
          <w:snapToGrid/>
          <w:color w:val="000000" w:themeColor="text1"/>
          <w:szCs w:val="24"/>
          <w:u w:color="0000FF"/>
        </w:rPr>
        <w:t xml:space="preserve"> </w:t>
      </w:r>
      <w:r w:rsidR="006D334C" w:rsidRPr="00BD2206">
        <w:rPr>
          <w:color w:val="000000" w:themeColor="text1"/>
        </w:rPr>
        <w:t xml:space="preserve">incurred in connection with such securitization as further defined and described </w:t>
      </w:r>
      <w:r w:rsidR="006D334C" w:rsidRPr="00BD2206">
        <w:t>below</w:t>
      </w:r>
      <w:r w:rsidR="00A76DBC" w:rsidRPr="00BD2206">
        <w:t>;</w:t>
      </w:r>
      <w:r w:rsidRPr="00BD2206">
        <w:rPr>
          <w:rStyle w:val="BodyTextChar"/>
        </w:rPr>
        <w:t xml:space="preserve"> </w:t>
      </w:r>
      <w:r w:rsidRPr="00BD2206">
        <w:t>(</w:t>
      </w:r>
      <w:r w:rsidR="006D334C" w:rsidRPr="00BD2206">
        <w:t>3</w:t>
      </w:r>
      <w:r w:rsidRPr="00BD2206">
        <w:t xml:space="preserve">) for approval of the proposed securitization financing structure and issuance of </w:t>
      </w:r>
      <w:r w:rsidR="00DA6854" w:rsidRPr="00BD2206">
        <w:t>system restoration</w:t>
      </w:r>
      <w:r w:rsidRPr="00BD2206">
        <w:t xml:space="preserve"> bonds; (</w:t>
      </w:r>
      <w:r w:rsidR="006D334C" w:rsidRPr="00BD2206">
        <w:t>4</w:t>
      </w:r>
      <w:r w:rsidRPr="00BD2206">
        <w:t xml:space="preserve">) for approval of </w:t>
      </w:r>
      <w:r w:rsidR="001235AD" w:rsidRPr="00BD2206">
        <w:t xml:space="preserve">system restoration </w:t>
      </w:r>
      <w:r w:rsidRPr="00BD2206">
        <w:t xml:space="preserve">charges sufficient to recover principal of and interest on the </w:t>
      </w:r>
      <w:r w:rsidR="001235AD" w:rsidRPr="00BD2206">
        <w:t>system restoration</w:t>
      </w:r>
      <w:r w:rsidRPr="00BD2206">
        <w:t xml:space="preserve"> bonds plus ongoing qualified costs</w:t>
      </w:r>
      <w:r w:rsidR="006D334C" w:rsidRPr="00BD2206">
        <w:rPr>
          <w:color w:val="0000FF"/>
          <w:u w:color="0000FF"/>
        </w:rPr>
        <w:t xml:space="preserve"> </w:t>
      </w:r>
      <w:r w:rsidR="006D334C" w:rsidRPr="00BD2206">
        <w:rPr>
          <w:color w:val="000000" w:themeColor="text1"/>
          <w:u w:color="0000FF"/>
        </w:rPr>
        <w:t xml:space="preserve">to be imposed on all existing and future retail </w:t>
      </w:r>
      <w:r w:rsidR="00824E79" w:rsidRPr="00BD2206">
        <w:rPr>
          <w:color w:val="000000" w:themeColor="text1"/>
          <w:u w:color="0000FF"/>
        </w:rPr>
        <w:t>customers</w:t>
      </w:r>
      <w:r w:rsidR="006D334C" w:rsidRPr="00BD2206">
        <w:rPr>
          <w:color w:val="000000" w:themeColor="text1"/>
          <w:u w:color="0000FF"/>
        </w:rPr>
        <w:t xml:space="preserve"> located within the </w:t>
      </w:r>
      <w:bookmarkStart w:id="63" w:name="_cp_text_4_116"/>
      <w:r w:rsidR="006D334C" w:rsidRPr="00BD2206">
        <w:rPr>
          <w:color w:val="000000" w:themeColor="text1"/>
          <w:u w:color="008000"/>
        </w:rPr>
        <w:t xml:space="preserve">portion of AEP Texas’ service area </w:t>
      </w:r>
      <w:bookmarkStart w:id="64" w:name="_cp_text_1_117"/>
      <w:bookmarkEnd w:id="63"/>
      <w:r w:rsidR="006D334C" w:rsidRPr="00BD2206">
        <w:rPr>
          <w:color w:val="000000" w:themeColor="text1"/>
          <w:u w:color="0000FF"/>
        </w:rPr>
        <w:t>that was formerly serviced</w:t>
      </w:r>
      <w:r w:rsidR="006D334C" w:rsidRPr="00BD2206">
        <w:rPr>
          <w:color w:val="000000" w:themeColor="text1"/>
        </w:rPr>
        <w:t xml:space="preserve"> </w:t>
      </w:r>
      <w:bookmarkStart w:id="65" w:name="_cp_text_4_118"/>
      <w:bookmarkEnd w:id="64"/>
      <w:r w:rsidR="006D334C" w:rsidRPr="00BD2206">
        <w:rPr>
          <w:color w:val="000000" w:themeColor="text1"/>
          <w:u w:color="008000"/>
        </w:rPr>
        <w:t>by AEP Texas</w:t>
      </w:r>
      <w:r w:rsidR="00DC7967" w:rsidRPr="00BD2206">
        <w:rPr>
          <w:color w:val="000000" w:themeColor="text1"/>
          <w:u w:color="008000"/>
        </w:rPr>
        <w:t>’</w:t>
      </w:r>
      <w:r w:rsidR="006D334C" w:rsidRPr="00BD2206">
        <w:rPr>
          <w:color w:val="000000" w:themeColor="text1"/>
          <w:u w:color="008000"/>
        </w:rPr>
        <w:t xml:space="preserve"> predecessor</w:t>
      </w:r>
      <w:bookmarkStart w:id="66" w:name="_cp_text_1_119"/>
      <w:bookmarkEnd w:id="65"/>
      <w:r w:rsidR="006D334C" w:rsidRPr="00BD2206">
        <w:rPr>
          <w:color w:val="000000" w:themeColor="text1"/>
          <w:u w:color="0000FF"/>
        </w:rPr>
        <w:t>-in-</w:t>
      </w:r>
      <w:bookmarkStart w:id="67" w:name="_cp_text_4_120"/>
      <w:bookmarkEnd w:id="66"/>
      <w:r w:rsidR="006D334C" w:rsidRPr="00BD2206">
        <w:rPr>
          <w:color w:val="000000" w:themeColor="text1"/>
          <w:u w:color="008000"/>
        </w:rPr>
        <w:t xml:space="preserve">interest, AEP Texas Central Company, (hereafter referred to as the AEP Texas “Central </w:t>
      </w:r>
      <w:bookmarkStart w:id="68" w:name="_cp_text_1_122"/>
      <w:bookmarkEnd w:id="67"/>
      <w:r w:rsidR="006D334C" w:rsidRPr="00BD2206">
        <w:rPr>
          <w:color w:val="000000" w:themeColor="text1"/>
          <w:u w:color="0000FF"/>
        </w:rPr>
        <w:t>Division</w:t>
      </w:r>
      <w:bookmarkStart w:id="69" w:name="_cp_text_1_121"/>
      <w:bookmarkStart w:id="70" w:name="_cp_text_1_123"/>
      <w:bookmarkEnd w:id="68"/>
      <w:bookmarkEnd w:id="69"/>
      <w:r w:rsidR="006D334C" w:rsidRPr="00BD2206">
        <w:rPr>
          <w:color w:val="000000" w:themeColor="text1"/>
          <w:u w:color="0000FF"/>
        </w:rPr>
        <w:t>” or the “Affected Service Area”)</w:t>
      </w:r>
      <w:bookmarkEnd w:id="70"/>
      <w:r w:rsidRPr="00BD2206">
        <w:rPr>
          <w:color w:val="000000" w:themeColor="text1"/>
        </w:rPr>
        <w:t>; (</w:t>
      </w:r>
      <w:r w:rsidR="006D334C" w:rsidRPr="00BD2206">
        <w:rPr>
          <w:color w:val="000000" w:themeColor="text1"/>
        </w:rPr>
        <w:t>5</w:t>
      </w:r>
      <w:r w:rsidRPr="00BD2206">
        <w:rPr>
          <w:color w:val="000000" w:themeColor="text1"/>
        </w:rPr>
        <w:t xml:space="preserve">) for approval of a tariff to implement </w:t>
      </w:r>
      <w:r w:rsidR="006D334C" w:rsidRPr="00BD2206">
        <w:rPr>
          <w:color w:val="000000" w:themeColor="text1"/>
        </w:rPr>
        <w:t xml:space="preserve">such </w:t>
      </w:r>
      <w:r w:rsidR="001235AD" w:rsidRPr="00BD2206">
        <w:rPr>
          <w:color w:val="000000" w:themeColor="text1"/>
        </w:rPr>
        <w:t>system restoration</w:t>
      </w:r>
      <w:r w:rsidRPr="00BD2206">
        <w:rPr>
          <w:color w:val="000000" w:themeColor="text1"/>
        </w:rPr>
        <w:t xml:space="preserve"> charges</w:t>
      </w:r>
      <w:r w:rsidR="00216059" w:rsidRPr="00BD2206">
        <w:rPr>
          <w:color w:val="000000" w:themeColor="text1"/>
        </w:rPr>
        <w:t>; and (6) for approval of an ADFIT Credit tariff to provide to customers the benefits of ADFIT associated with the system restoration costs</w:t>
      </w:r>
      <w:r w:rsidRPr="00BD2206">
        <w:rPr>
          <w:color w:val="000000" w:themeColor="text1"/>
        </w:rPr>
        <w:t>.</w:t>
      </w:r>
    </w:p>
    <w:p w14:paraId="445FA93D" w14:textId="49DC3978" w:rsidR="003631D6" w:rsidRPr="00BD2206" w:rsidRDefault="003631D6" w:rsidP="003631D6">
      <w:pPr>
        <w:pStyle w:val="BodyText"/>
        <w:rPr>
          <w:rStyle w:val="BodyTextChar"/>
        </w:rPr>
      </w:pPr>
      <w:r w:rsidRPr="00BD2206">
        <w:t xml:space="preserve">On </w:t>
      </w:r>
      <w:r w:rsidR="00AF0C60" w:rsidRPr="00BD2206">
        <w:t>March</w:t>
      </w:r>
      <w:r w:rsidR="00DA6854" w:rsidRPr="00BD2206">
        <w:t>__</w:t>
      </w:r>
      <w:r w:rsidRPr="00BD2206">
        <w:t>, 201</w:t>
      </w:r>
      <w:r w:rsidR="00EE2E79" w:rsidRPr="00BD2206">
        <w:t>9</w:t>
      </w:r>
      <w:r w:rsidRPr="00BD2206">
        <w:t xml:space="preserve">, </w:t>
      </w:r>
      <w:r w:rsidR="00DA6854" w:rsidRPr="00BD2206">
        <w:t>AEP Texas</w:t>
      </w:r>
      <w:r w:rsidRPr="00BD2206">
        <w:t xml:space="preserve"> submitted an application for a financing order to securitize the </w:t>
      </w:r>
      <w:proofErr w:type="spellStart"/>
      <w:r w:rsidRPr="00BD2206">
        <w:t>Securitizable</w:t>
      </w:r>
      <w:proofErr w:type="spellEnd"/>
      <w:r w:rsidRPr="00BD2206">
        <w:t xml:space="preserve"> Balance</w:t>
      </w:r>
      <w:r w:rsidR="006D334C" w:rsidRPr="00BD2206">
        <w:t>, plus certain other up-front qualified costs associated with the proposed securitization</w:t>
      </w:r>
      <w:r w:rsidRPr="00BD2206">
        <w:t xml:space="preserve">.  </w:t>
      </w:r>
      <w:bookmarkStart w:id="71" w:name="_Toc83701833"/>
      <w:bookmarkStart w:id="72" w:name="_Toc83702503"/>
      <w:bookmarkStart w:id="73" w:name="_Toc83702948"/>
      <w:bookmarkStart w:id="74" w:name="_Toc83703682"/>
      <w:bookmarkStart w:id="75" w:name="_Toc88378107"/>
      <w:r w:rsidRPr="00BD2206">
        <w:rPr>
          <w:rStyle w:val="BodyTextChar"/>
        </w:rPr>
        <w:t xml:space="preserve">As discussed in this Financing Order, the Commission finds that </w:t>
      </w:r>
      <w:r w:rsidR="00DA6854" w:rsidRPr="00BD2206">
        <w:rPr>
          <w:rStyle w:val="BodyTextChar"/>
        </w:rPr>
        <w:t>AEP Texas’</w:t>
      </w:r>
      <w:r w:rsidRPr="00BD2206">
        <w:rPr>
          <w:rStyle w:val="BodyTextChar"/>
        </w:rPr>
        <w:t xml:space="preserve"> application for approval of the securitization transaction should be approved.  The Commission also finds that the securitization approved in this Financing Order meets all applicable requirements of PURA.  </w:t>
      </w:r>
    </w:p>
    <w:p w14:paraId="24EC51EB" w14:textId="6C9ACFCD" w:rsidR="003631D6" w:rsidRPr="00BD2206" w:rsidRDefault="003631D6" w:rsidP="003631D6">
      <w:pPr>
        <w:pStyle w:val="BodyText"/>
        <w:rPr>
          <w:rStyle w:val="BodyTextChar"/>
        </w:rPr>
      </w:pPr>
      <w:r w:rsidRPr="00BD2206">
        <w:rPr>
          <w:rStyle w:val="BodyTextChar"/>
        </w:rPr>
        <w:t xml:space="preserve">Accordingly, in accordance with the terms of this Financing Order, </w:t>
      </w:r>
      <w:r w:rsidRPr="00BD2206">
        <w:t xml:space="preserve">the Commission: (1) approves the securitization of the </w:t>
      </w:r>
      <w:r w:rsidR="00DC7967" w:rsidRPr="00BD2206">
        <w:t xml:space="preserve">sum of (i) the </w:t>
      </w:r>
      <w:proofErr w:type="spellStart"/>
      <w:r w:rsidR="00DC7967" w:rsidRPr="00BD2206">
        <w:t>Securitizable</w:t>
      </w:r>
      <w:proofErr w:type="spellEnd"/>
      <w:r w:rsidR="00DC7967" w:rsidRPr="00BD2206">
        <w:t xml:space="preserve"> Balance, plus (ii) </w:t>
      </w:r>
      <w:r w:rsidR="00025D14" w:rsidRPr="00BD2206">
        <w:t xml:space="preserve">up-front qualified costs </w:t>
      </w:r>
      <w:r w:rsidR="00DC7967" w:rsidRPr="00BD2206">
        <w:t>as described</w:t>
      </w:r>
      <w:r w:rsidR="00025D14" w:rsidRPr="00BD2206">
        <w:t xml:space="preserve"> in Ordering Paragraph </w:t>
      </w:r>
      <w:r w:rsidR="009D2479" w:rsidRPr="00BD2206">
        <w:t>2</w:t>
      </w:r>
      <w:r w:rsidR="009D2479" w:rsidRPr="00BD2206">
        <w:rPr>
          <w:rStyle w:val="BodyTextChar"/>
        </w:rPr>
        <w:t xml:space="preserve">; </w:t>
      </w:r>
      <w:r w:rsidRPr="00BD2206">
        <w:rPr>
          <w:rStyle w:val="BodyTextChar"/>
        </w:rPr>
        <w:t>(</w:t>
      </w:r>
      <w:r w:rsidR="00102461" w:rsidRPr="00BD2206">
        <w:rPr>
          <w:rStyle w:val="BodyTextChar"/>
        </w:rPr>
        <w:t>2</w:t>
      </w:r>
      <w:r w:rsidRPr="00BD2206">
        <w:rPr>
          <w:rStyle w:val="BodyTextChar"/>
        </w:rPr>
        <w:t>) approves the structure of the proposed securitization financing</w:t>
      </w:r>
      <w:r w:rsidR="009B66A3" w:rsidRPr="00BD2206">
        <w:rPr>
          <w:rStyle w:val="BodyTextChar"/>
        </w:rPr>
        <w:t xml:space="preserve"> and issuance of system restoration bonds in one or more series</w:t>
      </w:r>
      <w:r w:rsidRPr="00BD2206">
        <w:rPr>
          <w:rStyle w:val="BodyTextChar"/>
        </w:rPr>
        <w:t>; (</w:t>
      </w:r>
      <w:r w:rsidR="00102461" w:rsidRPr="00BD2206">
        <w:rPr>
          <w:rStyle w:val="BodyTextChar"/>
        </w:rPr>
        <w:t>3</w:t>
      </w:r>
      <w:r w:rsidRPr="00BD2206">
        <w:rPr>
          <w:rStyle w:val="BodyTextChar"/>
        </w:rPr>
        <w:t xml:space="preserve">) approves </w:t>
      </w:r>
      <w:r w:rsidR="00E13A7C" w:rsidRPr="00BD2206">
        <w:rPr>
          <w:rStyle w:val="BodyTextChar"/>
        </w:rPr>
        <w:t>system restoration</w:t>
      </w:r>
      <w:r w:rsidRPr="00BD2206">
        <w:rPr>
          <w:rStyle w:val="BodyTextChar"/>
        </w:rPr>
        <w:t xml:space="preserve"> charges in an amount to be calculated as provided in this Financing Order; (</w:t>
      </w:r>
      <w:r w:rsidR="00102461" w:rsidRPr="00BD2206">
        <w:rPr>
          <w:rStyle w:val="BodyTextChar"/>
        </w:rPr>
        <w:t>4</w:t>
      </w:r>
      <w:r w:rsidRPr="00BD2206">
        <w:rPr>
          <w:rStyle w:val="BodyTextChar"/>
        </w:rPr>
        <w:t xml:space="preserve">) approves the form of tariff as provided in this Financing Order to implement those </w:t>
      </w:r>
      <w:r w:rsidR="00E13A7C" w:rsidRPr="00BD2206">
        <w:rPr>
          <w:rStyle w:val="BodyTextChar"/>
        </w:rPr>
        <w:t>system restoration</w:t>
      </w:r>
      <w:r w:rsidRPr="00BD2206">
        <w:rPr>
          <w:rStyle w:val="BodyTextChar"/>
        </w:rPr>
        <w:t xml:space="preserve"> charges</w:t>
      </w:r>
      <w:r w:rsidR="00025D14" w:rsidRPr="00BD2206">
        <w:rPr>
          <w:rStyle w:val="BodyTextChar"/>
        </w:rPr>
        <w:t xml:space="preserve"> </w:t>
      </w:r>
      <w:r w:rsidR="00025D14" w:rsidRPr="00BD2206">
        <w:rPr>
          <w:snapToGrid/>
        </w:rPr>
        <w:t>and the form of the ADFIT Credit tariff to implement the ADFIT Credit</w:t>
      </w:r>
      <w:r w:rsidRPr="00BD2206">
        <w:rPr>
          <w:rStyle w:val="BodyTextChar"/>
        </w:rPr>
        <w:t>; and (</w:t>
      </w:r>
      <w:r w:rsidR="00102461" w:rsidRPr="00BD2206">
        <w:rPr>
          <w:rStyle w:val="BodyTextChar"/>
        </w:rPr>
        <w:t>5</w:t>
      </w:r>
      <w:r w:rsidRPr="00BD2206">
        <w:rPr>
          <w:rStyle w:val="BodyTextChar"/>
        </w:rPr>
        <w:t xml:space="preserve">) finds that the potential benefits of (a) floating rate notes and interest rate swaps within the bond structure, (b) the issuance of </w:t>
      </w:r>
      <w:r w:rsidR="00E13A7C" w:rsidRPr="00BD2206">
        <w:rPr>
          <w:snapToGrid/>
        </w:rPr>
        <w:t xml:space="preserve">system restoration </w:t>
      </w:r>
      <w:r w:rsidRPr="00BD2206">
        <w:rPr>
          <w:rStyle w:val="BodyTextChar"/>
        </w:rPr>
        <w:t xml:space="preserve">bonds denominated in foreign currencies, and (c) the use of interest rate hedges will not outweigh the incremental risk to customers; therefore, the Commission concludes that floating rate notes and interest rate swaps should not be utilized within the </w:t>
      </w:r>
      <w:r w:rsidR="00E13A7C" w:rsidRPr="00BD2206">
        <w:rPr>
          <w:snapToGrid/>
        </w:rPr>
        <w:t xml:space="preserve">system restoration </w:t>
      </w:r>
      <w:r w:rsidRPr="00BD2206">
        <w:rPr>
          <w:rStyle w:val="BodyTextChar"/>
        </w:rPr>
        <w:t xml:space="preserve">bond structure and that </w:t>
      </w:r>
      <w:r w:rsidR="00DA6854" w:rsidRPr="00BD2206">
        <w:rPr>
          <w:rStyle w:val="BodyTextChar"/>
        </w:rPr>
        <w:t>AEP Texas</w:t>
      </w:r>
      <w:r w:rsidRPr="00BD2206">
        <w:rPr>
          <w:rStyle w:val="BodyTextChar"/>
        </w:rPr>
        <w:t xml:space="preserve"> should not be authorized to issue </w:t>
      </w:r>
      <w:r w:rsidR="00E13A7C" w:rsidRPr="00BD2206">
        <w:rPr>
          <w:snapToGrid/>
        </w:rPr>
        <w:t xml:space="preserve">system restoration </w:t>
      </w:r>
      <w:r w:rsidRPr="00BD2206">
        <w:rPr>
          <w:rStyle w:val="BodyTextChar"/>
        </w:rPr>
        <w:t xml:space="preserve">bonds denominated in a foreign currency, or which bear interest at a floating rate, or which use interest rate hedges.  </w:t>
      </w:r>
    </w:p>
    <w:p w14:paraId="190F6629" w14:textId="77777777" w:rsidR="003631D6" w:rsidRPr="00BD2206" w:rsidRDefault="003631D6" w:rsidP="003631D6">
      <w:pPr>
        <w:pStyle w:val="BodyText"/>
      </w:pPr>
      <w:r w:rsidRPr="00BD2206">
        <w:t xml:space="preserve">In order to approve the securitization of </w:t>
      </w:r>
      <w:r w:rsidR="00782555" w:rsidRPr="00BD2206">
        <w:t>the system restoration costs</w:t>
      </w:r>
      <w:r w:rsidRPr="00BD2206">
        <w:t xml:space="preserve">, the Commission must consider whether the proposed securitization meets the financial tests set forth in PURA </w:t>
      </w:r>
      <w:r w:rsidR="00782555" w:rsidRPr="00BD2206">
        <w:t xml:space="preserve">Chapter 36, Subchapter I and Chapter 39, Subchapter G.  The three financial tests require that </w:t>
      </w:r>
      <w:r w:rsidR="00782555" w:rsidRPr="00BD2206">
        <w:br/>
        <w:t>(1) the total revenues collected under the Financing Order are less than the revenues collected using conventional financing methods (total revenues test),</w:t>
      </w:r>
      <w:r w:rsidR="00782555" w:rsidRPr="00BD2206">
        <w:rPr>
          <w:rStyle w:val="FootnoteReference"/>
        </w:rPr>
        <w:footnoteReference w:id="5"/>
      </w:r>
      <w:r w:rsidR="00782555" w:rsidRPr="00BD2206">
        <w:t xml:space="preserve"> (2) the securitization of the system restoration costs provides greater tangible and quantifiable benefits to ratepayers than would have been achieved without the issuance of the system restoration bonds (tangible and quantifiable benefits test),</w:t>
      </w:r>
      <w:r w:rsidR="00782555" w:rsidRPr="00BD2206">
        <w:rPr>
          <w:rStyle w:val="FootnoteReference"/>
        </w:rPr>
        <w:footnoteReference w:id="6"/>
      </w:r>
      <w:r w:rsidR="00782555" w:rsidRPr="00BD2206">
        <w:t xml:space="preserve"> and (3) the amount securitized does not exceed the present value of the revenue requirement over the life of the proposed system restoration bonds associated with the system restoration costs sought to be securitized (present value test).</w:t>
      </w:r>
      <w:r w:rsidR="00782555" w:rsidRPr="00BD2206">
        <w:rPr>
          <w:rStyle w:val="FootnoteReference"/>
        </w:rPr>
        <w:footnoteReference w:id="7"/>
      </w:r>
    </w:p>
    <w:p w14:paraId="7ECEF8CD" w14:textId="3D968796" w:rsidR="003631D6" w:rsidRPr="00BD2206" w:rsidRDefault="003631D6" w:rsidP="003631D6">
      <w:pPr>
        <w:pStyle w:val="BodyText"/>
        <w:ind w:firstLine="0"/>
      </w:pPr>
      <w:r w:rsidRPr="00BD2206">
        <w:tab/>
      </w:r>
      <w:r w:rsidR="00DA6854" w:rsidRPr="00BD2206">
        <w:t>AEP Texas</w:t>
      </w:r>
      <w:r w:rsidRPr="00BD2206">
        <w:t xml:space="preserve"> submitted evidence demonstrating</w:t>
      </w:r>
      <w:r w:rsidRPr="00BD2206">
        <w:rPr>
          <w:rStyle w:val="BodyTextChar"/>
        </w:rPr>
        <w:t xml:space="preserve"> that the proposed securitization </w:t>
      </w:r>
      <w:r w:rsidR="00DC7967" w:rsidRPr="00BD2206">
        <w:rPr>
          <w:rStyle w:val="BodyTextChar"/>
        </w:rPr>
        <w:t xml:space="preserve">will meet </w:t>
      </w:r>
      <w:r w:rsidRPr="00BD2206">
        <w:rPr>
          <w:rStyle w:val="BodyTextChar"/>
        </w:rPr>
        <w:t xml:space="preserve">each of the financial tests set forth </w:t>
      </w:r>
      <w:r w:rsidR="00BB7DC3" w:rsidRPr="00BD2206">
        <w:rPr>
          <w:rStyle w:val="BodyTextChar"/>
        </w:rPr>
        <w:t xml:space="preserve">in </w:t>
      </w:r>
      <w:r w:rsidR="00782555" w:rsidRPr="00BD2206">
        <w:rPr>
          <w:snapToGrid/>
        </w:rPr>
        <w:t>Subchapter I of Chapter 36 and Subchapter G of Chapter 39 of PURA</w:t>
      </w:r>
      <w:r w:rsidRPr="00BD2206">
        <w:rPr>
          <w:rStyle w:val="BodyTextChar"/>
        </w:rPr>
        <w:t xml:space="preserve">.  All of the calculations performed by </w:t>
      </w:r>
      <w:r w:rsidR="00DA6854" w:rsidRPr="00BD2206">
        <w:rPr>
          <w:rStyle w:val="BodyTextChar"/>
        </w:rPr>
        <w:t>AEP Texas</w:t>
      </w:r>
      <w:r w:rsidRPr="00BD2206">
        <w:rPr>
          <w:rStyle w:val="BodyTextChar"/>
        </w:rPr>
        <w:t xml:space="preserve"> demonstrated that the transaction would pass these tests.  Considering the magnitude of the margin by which the proposed securitization passes the various tests, the Commission declines to determine a particular number for each benefit conferred by the securitization.  Accordingly, in quantifying the benefit to </w:t>
      </w:r>
      <w:r w:rsidR="00824E79" w:rsidRPr="00BD2206">
        <w:rPr>
          <w:rStyle w:val="BodyTextChar"/>
        </w:rPr>
        <w:t xml:space="preserve">ratepayers </w:t>
      </w:r>
      <w:r w:rsidRPr="00BD2206">
        <w:rPr>
          <w:rStyle w:val="BodyTextChar"/>
        </w:rPr>
        <w:t xml:space="preserve">as a result of this securitization, the Commission refers to the ranges of benefits </w:t>
      </w:r>
      <w:r w:rsidRPr="00BD2206">
        <w:t xml:space="preserve">calculated under </w:t>
      </w:r>
      <w:r w:rsidR="00DA6854" w:rsidRPr="00BD2206">
        <w:t>AEP Texas</w:t>
      </w:r>
      <w:r w:rsidR="00782555" w:rsidRPr="00BD2206">
        <w:t>’</w:t>
      </w:r>
      <w:r w:rsidRPr="00BD2206">
        <w:t xml:space="preserve"> expected case scenario, in which the </w:t>
      </w:r>
      <w:r w:rsidR="00782555" w:rsidRPr="00BD2206">
        <w:t>system restoration</w:t>
      </w:r>
      <w:r w:rsidRPr="00BD2206">
        <w:t xml:space="preserve"> bonds bear a </w:t>
      </w:r>
      <w:r w:rsidR="006269EF" w:rsidRPr="00BD2206">
        <w:t xml:space="preserve">3.48% </w:t>
      </w:r>
      <w:r w:rsidRPr="00BD2206">
        <w:t xml:space="preserve">weighted-average interest rate, and a worst-case scenario, in which the bonds are subject to a </w:t>
      </w:r>
      <w:r w:rsidR="009A5528" w:rsidRPr="00BD2206">
        <w:t>6.00</w:t>
      </w:r>
      <w:r w:rsidR="006269EF" w:rsidRPr="00BD2206">
        <w:t xml:space="preserve">% </w:t>
      </w:r>
      <w:r w:rsidRPr="00BD2206">
        <w:t>weighted-average interest rate.</w:t>
      </w:r>
      <w:r w:rsidRPr="00BD2206">
        <w:rPr>
          <w:rStyle w:val="FootnoteReference"/>
        </w:rPr>
        <w:t xml:space="preserve"> </w:t>
      </w:r>
    </w:p>
    <w:p w14:paraId="652BBC5E" w14:textId="3F839CD8" w:rsidR="003631D6" w:rsidRPr="00BD2206" w:rsidRDefault="00DA6854" w:rsidP="003631D6">
      <w:pPr>
        <w:pStyle w:val="BodyText"/>
      </w:pPr>
      <w:r w:rsidRPr="00BD2206">
        <w:t>AEP Texas</w:t>
      </w:r>
      <w:r w:rsidR="00782555" w:rsidRPr="00BD2206">
        <w:t>’</w:t>
      </w:r>
      <w:r w:rsidR="003631D6" w:rsidRPr="00BD2206">
        <w:t xml:space="preserve"> evidence shows that as a result of the securitization approved by this Financing Order, </w:t>
      </w:r>
      <w:r w:rsidR="00A8582A" w:rsidRPr="00BD2206">
        <w:t xml:space="preserve">ratepayers </w:t>
      </w:r>
      <w:r w:rsidR="003631D6" w:rsidRPr="00BD2206">
        <w:t xml:space="preserve">in </w:t>
      </w:r>
      <w:r w:rsidR="008D475E" w:rsidRPr="00BD2206">
        <w:t xml:space="preserve">the </w:t>
      </w:r>
      <w:r w:rsidR="00DC7967" w:rsidRPr="00BD2206">
        <w:t xml:space="preserve">Affected Service Area (which are the sole </w:t>
      </w:r>
      <w:r w:rsidR="009D2479" w:rsidRPr="00BD2206">
        <w:t>ratepayers</w:t>
      </w:r>
      <w:r w:rsidR="00DC7967" w:rsidRPr="00BD2206">
        <w:t xml:space="preserve"> of AEP Texas responsible for paying system restoration charges</w:t>
      </w:r>
      <w:r w:rsidR="008D475E" w:rsidRPr="00BD2206">
        <w:t xml:space="preserve">) </w:t>
      </w:r>
      <w:r w:rsidR="003631D6" w:rsidRPr="00BD2206">
        <w:t>will r</w:t>
      </w:r>
      <w:r w:rsidR="003631D6" w:rsidRPr="00BD2206">
        <w:rPr>
          <w:rStyle w:val="BodyTextChar"/>
        </w:rPr>
        <w:t xml:space="preserve">ealize benefits.  Based on the amount that </w:t>
      </w:r>
      <w:r w:rsidRPr="00BD2206">
        <w:rPr>
          <w:rStyle w:val="BodyTextChar"/>
        </w:rPr>
        <w:t>AEP Texas</w:t>
      </w:r>
      <w:r w:rsidR="003631D6" w:rsidRPr="00BD2206">
        <w:rPr>
          <w:rStyle w:val="BodyTextChar"/>
        </w:rPr>
        <w:t xml:space="preserve"> seeks to securitize, </w:t>
      </w:r>
      <w:r w:rsidRPr="00BD2206">
        <w:rPr>
          <w:rStyle w:val="BodyTextChar"/>
        </w:rPr>
        <w:t>AEP Texas</w:t>
      </w:r>
      <w:r w:rsidR="001C7815" w:rsidRPr="00BD2206">
        <w:rPr>
          <w:rStyle w:val="BodyTextChar"/>
        </w:rPr>
        <w:t>’</w:t>
      </w:r>
      <w:r w:rsidR="003631D6" w:rsidRPr="00BD2206">
        <w:rPr>
          <w:rStyle w:val="BodyTextChar"/>
        </w:rPr>
        <w:t xml:space="preserve"> financial analysis indicated that </w:t>
      </w:r>
      <w:r w:rsidR="00DC7967" w:rsidRPr="00BD2206">
        <w:rPr>
          <w:rStyle w:val="BodyTextChar"/>
        </w:rPr>
        <w:t xml:space="preserve">such </w:t>
      </w:r>
      <w:r w:rsidR="00824E79" w:rsidRPr="00BD2206">
        <w:rPr>
          <w:rStyle w:val="BodyTextChar"/>
        </w:rPr>
        <w:t xml:space="preserve">ratepayers </w:t>
      </w:r>
      <w:r w:rsidR="003631D6" w:rsidRPr="00BD2206">
        <w:rPr>
          <w:rStyle w:val="BodyTextChar"/>
        </w:rPr>
        <w:t xml:space="preserve">will realize benefits estimated to be approximately </w:t>
      </w:r>
      <w:r w:rsidR="002C7828" w:rsidRPr="00BD2206">
        <w:rPr>
          <w:rStyle w:val="BodyTextChar"/>
        </w:rPr>
        <w:t>$</w:t>
      </w:r>
      <w:r w:rsidR="009A5528" w:rsidRPr="00BD2206">
        <w:rPr>
          <w:rStyle w:val="BodyTextChar"/>
        </w:rPr>
        <w:t>19.7</w:t>
      </w:r>
      <w:r w:rsidR="002C7828" w:rsidRPr="00BD2206">
        <w:rPr>
          <w:rStyle w:val="BodyTextChar"/>
        </w:rPr>
        <w:t xml:space="preserve"> </w:t>
      </w:r>
      <w:r w:rsidR="003631D6" w:rsidRPr="00BD2206">
        <w:rPr>
          <w:rStyle w:val="BodyTextChar"/>
        </w:rPr>
        <w:t xml:space="preserve">million </w:t>
      </w:r>
      <w:r w:rsidR="003631D6" w:rsidRPr="00BD2206">
        <w:t xml:space="preserve">on a present value basis in the worst case scenario.  At the expected weighted-average interest rate of </w:t>
      </w:r>
      <w:r w:rsidR="002C7828" w:rsidRPr="00BD2206">
        <w:t xml:space="preserve">3.48%, </w:t>
      </w:r>
      <w:r w:rsidR="003631D6" w:rsidRPr="00BD2206">
        <w:t xml:space="preserve">securitization confers benefits of approximately </w:t>
      </w:r>
      <w:r w:rsidR="002C7828" w:rsidRPr="00BD2206">
        <w:t>$52</w:t>
      </w:r>
      <w:r w:rsidR="00303967" w:rsidRPr="00BD2206">
        <w:t>.4</w:t>
      </w:r>
      <w:r w:rsidR="002C7828" w:rsidRPr="00BD2206">
        <w:t xml:space="preserve"> </w:t>
      </w:r>
      <w:r w:rsidR="003631D6" w:rsidRPr="00BD2206">
        <w:t xml:space="preserve">million on a present-value basis.  In addition, under the worst-case scenario, the securitization will result in a reduction in the amount of revenues collected by </w:t>
      </w:r>
      <w:r w:rsidRPr="00BD2206">
        <w:t>AEP Texas</w:t>
      </w:r>
      <w:r w:rsidR="003631D6" w:rsidRPr="00BD2206">
        <w:t xml:space="preserve"> </w:t>
      </w:r>
      <w:r w:rsidR="00BC60C4" w:rsidRPr="00BD2206">
        <w:t xml:space="preserve">from retail customers in its Central Division </w:t>
      </w:r>
      <w:r w:rsidR="003631D6" w:rsidRPr="00BD2206">
        <w:t xml:space="preserve">of approximately </w:t>
      </w:r>
      <w:r w:rsidR="002C7828" w:rsidRPr="00BD2206">
        <w:t>$</w:t>
      </w:r>
      <w:r w:rsidR="009A5528" w:rsidRPr="00BD2206">
        <w:t>26.8</w:t>
      </w:r>
      <w:r w:rsidR="002C7828" w:rsidRPr="00BD2206">
        <w:t xml:space="preserve"> </w:t>
      </w:r>
      <w:r w:rsidR="003631D6" w:rsidRPr="00BD2206">
        <w:t>million, on a nominal basis, when compared to the amount that would have been collected under conventional financing methods that would otherwise be used to recover the costs.</w:t>
      </w:r>
      <w:bookmarkStart w:id="76" w:name="_Toc83701834"/>
      <w:bookmarkStart w:id="77" w:name="_Toc83702504"/>
      <w:bookmarkStart w:id="78" w:name="_Toc83702949"/>
      <w:bookmarkStart w:id="79" w:name="_Toc83703683"/>
      <w:bookmarkStart w:id="80" w:name="_Toc88378108"/>
      <w:bookmarkEnd w:id="71"/>
      <w:bookmarkEnd w:id="72"/>
      <w:bookmarkEnd w:id="73"/>
      <w:bookmarkEnd w:id="74"/>
      <w:bookmarkEnd w:id="75"/>
      <w:r w:rsidR="003631D6" w:rsidRPr="00BD2206">
        <w:t xml:space="preserve">  In the expected case, the securitization will result in a reduction in the amount of revenues collected by </w:t>
      </w:r>
      <w:r w:rsidRPr="00BD2206">
        <w:t>AEP Texas</w:t>
      </w:r>
      <w:r w:rsidR="00BC60C4" w:rsidRPr="00BD2206">
        <w:t>’ Central Division</w:t>
      </w:r>
      <w:r w:rsidR="003631D6" w:rsidRPr="00BD2206">
        <w:t xml:space="preserve"> of approximately </w:t>
      </w:r>
      <w:r w:rsidR="002C7828" w:rsidRPr="00BD2206">
        <w:t>$</w:t>
      </w:r>
      <w:r w:rsidR="00BD2206">
        <w:t>62.9</w:t>
      </w:r>
      <w:r w:rsidR="002C7828" w:rsidRPr="00BD2206">
        <w:t xml:space="preserve"> </w:t>
      </w:r>
      <w:r w:rsidR="003631D6" w:rsidRPr="00BD2206">
        <w:t>million, on a nominal basis.</w:t>
      </w:r>
      <w:r w:rsidR="003631D6" w:rsidRPr="00BD2206">
        <w:rPr>
          <w:rStyle w:val="FootnoteReference"/>
        </w:rPr>
        <w:footnoteReference w:id="8"/>
      </w:r>
      <w:r w:rsidR="003631D6" w:rsidRPr="00BD2206">
        <w:t xml:space="preserve">  Accordingly, the Commission concludes that the benefits for </w:t>
      </w:r>
      <w:r w:rsidR="00824E79" w:rsidRPr="00BD2206">
        <w:t xml:space="preserve">ratepayers </w:t>
      </w:r>
      <w:r w:rsidR="003631D6" w:rsidRPr="00BD2206">
        <w:t xml:space="preserve">set forth in </w:t>
      </w:r>
      <w:r w:rsidRPr="00BD2206">
        <w:t>AEP Texas</w:t>
      </w:r>
      <w:r w:rsidR="00652618" w:rsidRPr="00BD2206">
        <w:t>’</w:t>
      </w:r>
      <w:r w:rsidR="003631D6" w:rsidRPr="00BD2206">
        <w:t xml:space="preserve"> evidence are fully indicative of the benefits that </w:t>
      </w:r>
      <w:r w:rsidR="00824E79" w:rsidRPr="00BD2206">
        <w:t xml:space="preserve">ratepayers </w:t>
      </w:r>
      <w:r w:rsidR="003631D6" w:rsidRPr="00BD2206">
        <w:t>will realize from the securitization approved hereby.  Also</w:t>
      </w:r>
      <w:r w:rsidR="001C7815" w:rsidRPr="00BD2206">
        <w:t>,</w:t>
      </w:r>
      <w:r w:rsidR="003631D6" w:rsidRPr="00BD2206">
        <w:t xml:space="preserve"> in the issuance advice letter, </w:t>
      </w:r>
      <w:r w:rsidRPr="00BD2206">
        <w:t>AEP Texas</w:t>
      </w:r>
      <w:r w:rsidR="003631D6" w:rsidRPr="00BD2206">
        <w:t xml:space="preserve"> will be required to update the benefit analyses to verify that the final structure of the securitization satisfies the statutory financial tests.</w:t>
      </w:r>
      <w:r w:rsidR="003631D6" w:rsidRPr="00BD2206">
        <w:rPr>
          <w:rStyle w:val="FootnoteReference"/>
        </w:rPr>
        <w:t xml:space="preserve"> </w:t>
      </w:r>
    </w:p>
    <w:p w14:paraId="59E65191" w14:textId="3155240C" w:rsidR="003631D6" w:rsidRPr="00BD2206" w:rsidRDefault="00DA6854" w:rsidP="003631D6">
      <w:pPr>
        <w:pStyle w:val="BodyText"/>
      </w:pPr>
      <w:bookmarkStart w:id="81" w:name="_Toc83701835"/>
      <w:bookmarkStart w:id="82" w:name="_Toc83702505"/>
      <w:bookmarkStart w:id="83" w:name="_Toc83702950"/>
      <w:bookmarkStart w:id="84" w:name="_Toc83703684"/>
      <w:bookmarkStart w:id="85" w:name="_Toc88378109"/>
      <w:bookmarkEnd w:id="76"/>
      <w:bookmarkEnd w:id="77"/>
      <w:bookmarkEnd w:id="78"/>
      <w:bookmarkEnd w:id="79"/>
      <w:bookmarkEnd w:id="80"/>
      <w:r w:rsidRPr="00BD2206">
        <w:t>AEP Texas</w:t>
      </w:r>
      <w:r w:rsidR="003631D6" w:rsidRPr="00BD2206">
        <w:t xml:space="preserve"> provided a general description of the proposed transaction structure in its application and in </w:t>
      </w:r>
      <w:r w:rsidR="00BC60C4" w:rsidRPr="00BD2206">
        <w:t xml:space="preserve">the </w:t>
      </w:r>
      <w:r w:rsidR="003631D6" w:rsidRPr="00BD2206">
        <w:t xml:space="preserve">evidence submitted in support of its application.  The proposed transaction structure does not contain every relevant detail and, in certain places, uses only approximations of certain costs and requirements.  The final transaction structure will depend, in part, upon the requirements of the nationally-recognized credit rating agencies which will rate the </w:t>
      </w:r>
      <w:r w:rsidR="004100A4" w:rsidRPr="00BD2206">
        <w:t xml:space="preserve">system restoration </w:t>
      </w:r>
      <w:r w:rsidR="003631D6" w:rsidRPr="00BD2206">
        <w:t xml:space="preserve">bonds and, in part, upon the market conditions that exist at the time the </w:t>
      </w:r>
      <w:r w:rsidR="004100A4" w:rsidRPr="00BD2206">
        <w:t xml:space="preserve">system restoration </w:t>
      </w:r>
      <w:r w:rsidR="003631D6" w:rsidRPr="00BD2206">
        <w:t>bonds are taken to the market.</w:t>
      </w:r>
      <w:bookmarkStart w:id="86" w:name="_Toc83701836"/>
      <w:bookmarkStart w:id="87" w:name="_Toc83702506"/>
      <w:bookmarkStart w:id="88" w:name="_Toc83702951"/>
      <w:bookmarkStart w:id="89" w:name="_Toc83703685"/>
      <w:bookmarkStart w:id="90" w:name="_Toc88378110"/>
      <w:bookmarkEnd w:id="81"/>
      <w:bookmarkEnd w:id="82"/>
      <w:bookmarkEnd w:id="83"/>
      <w:bookmarkEnd w:id="84"/>
      <w:bookmarkEnd w:id="85"/>
    </w:p>
    <w:p w14:paraId="73D40555" w14:textId="5210DA22" w:rsidR="003631D6" w:rsidRPr="00BD2206" w:rsidRDefault="003631D6" w:rsidP="003631D6">
      <w:pPr>
        <w:pStyle w:val="BodyText"/>
      </w:pPr>
      <w:r w:rsidRPr="00BD2206">
        <w:t xml:space="preserve">While the Commission recognizes the need for some degree of flexibility with regard to the final details of the securitization transaction approved in this Financing Order, its primary focus is upon the statutory requirements—the most important of which is to ensure that securitization results in tangible and quantifiable benefits to </w:t>
      </w:r>
      <w:r w:rsidR="00824E79" w:rsidRPr="00BD2206">
        <w:t>ratepayers</w:t>
      </w:r>
      <w:r w:rsidRPr="00BD2206">
        <w:t>—that must be met prior to issuing a financing order.</w:t>
      </w:r>
      <w:bookmarkEnd w:id="86"/>
      <w:bookmarkEnd w:id="87"/>
      <w:bookmarkEnd w:id="88"/>
      <w:bookmarkEnd w:id="89"/>
      <w:bookmarkEnd w:id="90"/>
    </w:p>
    <w:p w14:paraId="27DD9008" w14:textId="58155C8D" w:rsidR="003631D6" w:rsidRPr="00BD2206" w:rsidRDefault="003631D6" w:rsidP="003631D6">
      <w:pPr>
        <w:pStyle w:val="BodyText"/>
      </w:pPr>
      <w:bookmarkStart w:id="91" w:name="_Toc83701837"/>
      <w:bookmarkStart w:id="92" w:name="_Toc83702507"/>
      <w:bookmarkStart w:id="93" w:name="_Toc83702952"/>
      <w:bookmarkStart w:id="94" w:name="_Toc83703686"/>
      <w:bookmarkStart w:id="95" w:name="_Toc88378111"/>
      <w:r w:rsidRPr="00BD2206">
        <w:t xml:space="preserve">In view of these obligations, the Commission has established certain criteria in this Financing Order that must be met in order for the approvals and authorizations granted in this Financing Order to become effective.  This Financing Order grants authority to issue </w:t>
      </w:r>
      <w:r w:rsidR="00B6474D" w:rsidRPr="00BD2206">
        <w:t>system restoration</w:t>
      </w:r>
      <w:r w:rsidRPr="00BD2206">
        <w:t xml:space="preserve"> bonds and to impose</w:t>
      </w:r>
      <w:r w:rsidR="00B86FEE" w:rsidRPr="00BD2206">
        <w:t>,</w:t>
      </w:r>
      <w:r w:rsidRPr="00BD2206">
        <w:t xml:space="preserve"> collect </w:t>
      </w:r>
      <w:r w:rsidR="00B86FEE" w:rsidRPr="00BD2206">
        <w:t xml:space="preserve">and receive </w:t>
      </w:r>
      <w:r w:rsidR="009761B6" w:rsidRPr="00BD2206">
        <w:t xml:space="preserve">system restoration </w:t>
      </w:r>
      <w:r w:rsidRPr="00BD2206">
        <w:t xml:space="preserve">charges only if the final structure of the securitization transaction complies in all material respects with these criteria.  The authority and approval granted in this Financing Order is effective as to each issuance upon, but only upon, </w:t>
      </w:r>
      <w:r w:rsidR="00DA6854" w:rsidRPr="00BD2206">
        <w:t>AEP Texas</w:t>
      </w:r>
      <w:r w:rsidRPr="00BD2206">
        <w:t xml:space="preserve"> filing with the Commission an issuance advice letter demonstrating compliance of that issuance with the provisions of this Financing Order.</w:t>
      </w:r>
      <w:bookmarkEnd w:id="91"/>
      <w:bookmarkEnd w:id="92"/>
      <w:bookmarkEnd w:id="93"/>
      <w:bookmarkEnd w:id="94"/>
      <w:bookmarkEnd w:id="95"/>
      <w:r w:rsidRPr="00BD2206">
        <w:t xml:space="preserve">  If market conditions make it desirable to issue the </w:t>
      </w:r>
      <w:r w:rsidR="004100A4" w:rsidRPr="00BD2206">
        <w:t xml:space="preserve">system restoration </w:t>
      </w:r>
      <w:r w:rsidRPr="00BD2206">
        <w:t xml:space="preserve">bonds in more than one series, then the authority and approval in this Financing Order is effective as to each issuance, but only upon </w:t>
      </w:r>
      <w:r w:rsidR="00DA6854" w:rsidRPr="00BD2206">
        <w:t>AEP Texas</w:t>
      </w:r>
      <w:r w:rsidRPr="00BD2206">
        <w:t xml:space="preserve"> filing with the Commission a separate issuance advice letter for that issuance demonstrating compliance with the provisions of this Financing Order.</w:t>
      </w:r>
    </w:p>
    <w:p w14:paraId="79EB4A03" w14:textId="77777777" w:rsidR="003631D6" w:rsidRPr="00BD2206" w:rsidRDefault="005B35DB" w:rsidP="003F7243">
      <w:pPr>
        <w:pStyle w:val="Heading1"/>
      </w:pPr>
      <w:bookmarkStart w:id="96" w:name="_Toc88378105"/>
      <w:bookmarkStart w:id="97" w:name="_Toc88379098"/>
      <w:bookmarkStart w:id="98" w:name="_Toc88379320"/>
      <w:bookmarkStart w:id="99" w:name="_Toc88379540"/>
      <w:bookmarkStart w:id="100" w:name="_Toc88379758"/>
      <w:bookmarkStart w:id="101" w:name="_Toc88379946"/>
      <w:bookmarkStart w:id="102" w:name="_Toc88380129"/>
      <w:bookmarkStart w:id="103" w:name="_Toc88380259"/>
      <w:bookmarkStart w:id="104" w:name="_Toc88380416"/>
      <w:bookmarkStart w:id="105" w:name="_Toc88380508"/>
      <w:bookmarkStart w:id="106" w:name="_Toc88380600"/>
      <w:bookmarkStart w:id="107" w:name="_Toc97535648"/>
      <w:bookmarkStart w:id="108" w:name="_Toc177539432"/>
      <w:bookmarkStart w:id="109" w:name="_Toc88378112"/>
      <w:bookmarkStart w:id="110" w:name="_Toc88379099"/>
      <w:bookmarkStart w:id="111" w:name="_Toc88379321"/>
      <w:bookmarkStart w:id="112" w:name="_Toc88379541"/>
      <w:bookmarkStart w:id="113" w:name="_Toc88379759"/>
      <w:bookmarkStart w:id="114" w:name="_Toc88379947"/>
      <w:bookmarkStart w:id="115" w:name="_Toc88380130"/>
      <w:bookmarkStart w:id="116" w:name="_Toc88380260"/>
      <w:bookmarkStart w:id="117" w:name="_Toc88380417"/>
      <w:bookmarkStart w:id="118" w:name="_Toc88380509"/>
      <w:bookmarkStart w:id="119" w:name="_Toc88380601"/>
      <w:r w:rsidRPr="00BD2206">
        <w:t xml:space="preserve">  </w:t>
      </w:r>
      <w:bookmarkStart w:id="120" w:name="_Toc2778484"/>
      <w:r w:rsidR="00F56DCC" w:rsidRPr="00BD2206">
        <w:t>Discussion and Statutory Overview</w:t>
      </w:r>
      <w:bookmarkEnd w:id="96"/>
      <w:bookmarkEnd w:id="97"/>
      <w:bookmarkEnd w:id="98"/>
      <w:bookmarkEnd w:id="99"/>
      <w:bookmarkEnd w:id="100"/>
      <w:bookmarkEnd w:id="101"/>
      <w:bookmarkEnd w:id="102"/>
      <w:bookmarkEnd w:id="103"/>
      <w:bookmarkEnd w:id="104"/>
      <w:bookmarkEnd w:id="105"/>
      <w:bookmarkEnd w:id="106"/>
      <w:bookmarkEnd w:id="107"/>
      <w:bookmarkEnd w:id="108"/>
      <w:bookmarkEnd w:id="120"/>
    </w:p>
    <w:p w14:paraId="52833D64" w14:textId="52330C78" w:rsidR="003631D6" w:rsidRPr="00BD2206" w:rsidRDefault="00B6474D" w:rsidP="003631D6">
      <w:pPr>
        <w:pStyle w:val="BodyText"/>
      </w:pPr>
      <w:bookmarkStart w:id="121" w:name="_Toc83701839"/>
      <w:bookmarkStart w:id="122" w:name="_Toc83702509"/>
      <w:bookmarkStart w:id="123" w:name="_Toc83702954"/>
      <w:bookmarkStart w:id="124" w:name="_Toc83703688"/>
      <w:bookmarkStart w:id="125" w:name="_Toc88378114"/>
      <w:bookmarkEnd w:id="109"/>
      <w:bookmarkEnd w:id="110"/>
      <w:bookmarkEnd w:id="111"/>
      <w:bookmarkEnd w:id="112"/>
      <w:bookmarkEnd w:id="113"/>
      <w:bookmarkEnd w:id="114"/>
      <w:bookmarkEnd w:id="115"/>
      <w:bookmarkEnd w:id="116"/>
      <w:bookmarkEnd w:id="117"/>
      <w:bookmarkEnd w:id="118"/>
      <w:bookmarkEnd w:id="119"/>
      <w:r w:rsidRPr="00BD2206">
        <w:t xml:space="preserve">The Texas Legislature amended PURA in 2009 to permit electric utilities to use securitization financing to recover costs of restoring service and infrastructure associated with electric power outages as a result of hurricanes and other weather-related events or natural disasters that occurred in 2008 or </w:t>
      </w:r>
      <w:r w:rsidR="007E3CF9" w:rsidRPr="00BD2206">
        <w:t>thereafter</w:t>
      </w:r>
      <w:r w:rsidRPr="00BD2206">
        <w:t>.</w:t>
      </w:r>
      <w:r w:rsidRPr="00BD2206">
        <w:rPr>
          <w:rStyle w:val="FootnoteReference"/>
        </w:rPr>
        <w:footnoteReference w:id="9"/>
      </w:r>
      <w:r w:rsidRPr="00BD2206">
        <w:t xml:space="preserve">  The Legislature provided this option for recovering qualified costs based on the conclusion that securitized financing will lower the carrying costs associated with recovery of these costs relative to the costs that would be incurred using conventional utility financing methods.</w:t>
      </w:r>
      <w:r w:rsidRPr="00BD2206">
        <w:rPr>
          <w:rStyle w:val="FootnoteReference"/>
        </w:rPr>
        <w:footnoteReference w:id="10"/>
      </w:r>
      <w:r w:rsidRPr="00BD2206">
        <w:t xml:space="preserve">  As a precondition to the use of securitization, the Legislature required that the Commission </w:t>
      </w:r>
      <w:r w:rsidR="00BC60C4" w:rsidRPr="00BD2206">
        <w:t xml:space="preserve">must </w:t>
      </w:r>
      <w:r w:rsidRPr="00BD2206">
        <w:t>ensure that the securitization will provide greater tangible and quantifiable benefits to ratepayers than would have been achieved without issuance of the system restoration bonds.</w:t>
      </w:r>
      <w:r w:rsidRPr="00BD2206">
        <w:rPr>
          <w:rStyle w:val="FootnoteReference"/>
        </w:rPr>
        <w:footnoteReference w:id="11"/>
      </w:r>
      <w:r w:rsidRPr="00BD2206">
        <w:t xml:space="preserve">  Consequently, a basic purpose of securitization financing—the recovery of an electric utility’s qualified costs—is conditioned upon the other basic purpose—providing economic benefits to </w:t>
      </w:r>
      <w:r w:rsidR="00776CAD" w:rsidRPr="00BD2206">
        <w:t xml:space="preserve">electricity </w:t>
      </w:r>
      <w:r w:rsidR="00824E79" w:rsidRPr="00BD2206">
        <w:t xml:space="preserve">ratepayers </w:t>
      </w:r>
      <w:r w:rsidRPr="00BD2206">
        <w:t xml:space="preserve">in this state.  The provisions for securitization of system restoration costs were based on and incorporate relevant terms of the provisions </w:t>
      </w:r>
      <w:r w:rsidR="00BC60C4" w:rsidRPr="00BD2206">
        <w:t xml:space="preserve">in Subchapter G, Chapter 39 of PURA </w:t>
      </w:r>
      <w:r w:rsidRPr="00BD2206">
        <w:t>for securitization of transition costs adopted by the Texas Legislature in 1999</w:t>
      </w:r>
      <w:r w:rsidR="00BC60C4" w:rsidRPr="00BD2206">
        <w:t>, which have been</w:t>
      </w:r>
      <w:r w:rsidRPr="00BD2206">
        <w:t xml:space="preserve"> used by AEP Texas and other electric utilities to reduce the costs of recovering costs associated with the transition to competition.</w:t>
      </w:r>
      <w:r w:rsidRPr="00BD2206">
        <w:rPr>
          <w:rStyle w:val="FootnoteReference"/>
        </w:rPr>
        <w:footnoteReference w:id="12"/>
      </w:r>
      <w:r w:rsidRPr="00BD2206">
        <w:t xml:space="preserve">  </w:t>
      </w:r>
    </w:p>
    <w:p w14:paraId="0FD6F92D" w14:textId="62C69AAB" w:rsidR="00521B8B" w:rsidRPr="00BD2206" w:rsidRDefault="00521B8B" w:rsidP="00521B8B">
      <w:pPr>
        <w:pStyle w:val="BodyText"/>
        <w:rPr>
          <w:color w:val="000000" w:themeColor="text1"/>
        </w:rPr>
      </w:pPr>
      <w:r w:rsidRPr="00BD2206">
        <w:t>Pursuant to Subchapter I of Chapter 36, the qualified costs eligible for securitization by AEP Texas include: (1) the distribution-related system restoration costs as determined by the Commission in Docket No. 48577 (the proceeding to determine the amount of AEP Texas’ system restoration costs)</w:t>
      </w:r>
      <w:r w:rsidR="009A4D19" w:rsidRPr="00BD2206">
        <w:t>,</w:t>
      </w:r>
      <w:r w:rsidRPr="00BD2206">
        <w:t xml:space="preserve"> net of any insurance proceeds, government grants, or other sources of funding</w:t>
      </w:r>
      <w:r w:rsidR="00024543" w:rsidRPr="00BD2206">
        <w:t xml:space="preserve">, also as determined in Docket No. 48577, </w:t>
      </w:r>
      <w:r w:rsidRPr="00BD2206">
        <w:t>that compensate AEP Texas for system restoration costs</w:t>
      </w:r>
      <w:r w:rsidR="00B86FEE" w:rsidRPr="00BD2206">
        <w:t xml:space="preserve"> received by AEP Texas at the time of the application for this Financing Order</w:t>
      </w:r>
      <w:r w:rsidRPr="00BD2206">
        <w:t xml:space="preserve">, </w:t>
      </w:r>
      <w:r w:rsidR="001E5B31" w:rsidRPr="00BD2206">
        <w:t>and a further offset utilizing certain excess unprotected ADFIT,</w:t>
      </w:r>
      <w:r w:rsidR="003D2AE7" w:rsidRPr="00BD2206">
        <w:t xml:space="preserve"> as prescribed in Docket No. 48577,</w:t>
      </w:r>
      <w:r w:rsidR="001E5B31" w:rsidRPr="00BD2206">
        <w:t xml:space="preserve"> </w:t>
      </w:r>
      <w:r w:rsidRPr="00BD2206">
        <w:t xml:space="preserve">with carrying costs on the unrecovered balance </w:t>
      </w:r>
      <w:r w:rsidR="007E3CF9" w:rsidRPr="00BD2206">
        <w:t xml:space="preserve">of Hurricane Harvey-related system restoration costs, calculated </w:t>
      </w:r>
      <w:r w:rsidRPr="00BD2206">
        <w:t xml:space="preserve">as approved in Docket No. 48577; (2) costs of issuing, supporting and servicing the system restoration bonds and any costs of retiring and refunding existing debt and equity securities in connection with issuance of the bonds; (3) costs to the Commission of acquiring professional services for the purposes of evaluating the proposed transaction; and (4) costs associated with ancillary agreements such as bond insurance policies, letters of credit, reserve accounts, surety bonds, swap arrangements, hedging arrangements, liquidity or credit support arrangements or other financial arrangements entered into in connection with the issuance or payment </w:t>
      </w:r>
      <w:r w:rsidRPr="00BD2206">
        <w:rPr>
          <w:color w:val="000000" w:themeColor="text1"/>
        </w:rPr>
        <w:t xml:space="preserve">of the </w:t>
      </w:r>
      <w:bookmarkStart w:id="126" w:name="_cp_text_1_188"/>
      <w:r w:rsidR="009B4FE3" w:rsidRPr="00BD2206">
        <w:rPr>
          <w:color w:val="000000" w:themeColor="text1"/>
          <w:u w:color="0000FF"/>
        </w:rPr>
        <w:t>transition bonds.</w:t>
      </w:r>
      <w:bookmarkStart w:id="127" w:name="_cp_text_28_189"/>
      <w:bookmarkEnd w:id="126"/>
      <w:r w:rsidR="009B4FE3" w:rsidRPr="00BD2206">
        <w:rPr>
          <w:rStyle w:val="FootnoteReference"/>
          <w:color w:val="000000" w:themeColor="text1"/>
          <w:u w:color="0000FF"/>
        </w:rPr>
        <w:footnoteReference w:id="13"/>
      </w:r>
      <w:r w:rsidR="009B4FE3" w:rsidRPr="00BD2206">
        <w:rPr>
          <w:color w:val="000000" w:themeColor="text1"/>
        </w:rPr>
        <w:t xml:space="preserve">  </w:t>
      </w:r>
      <w:bookmarkStart w:id="129" w:name="_cp_text_1_191"/>
      <w:bookmarkEnd w:id="127"/>
      <w:r w:rsidR="009B4FE3" w:rsidRPr="00BD2206">
        <w:rPr>
          <w:color w:val="000000" w:themeColor="text1"/>
          <w:u w:color="0000FF"/>
        </w:rPr>
        <w:t>Subchapter I of Chapter 36 also expressly provides (i) that the term “transition bonds,” as defined and used in Subchapter G, Chapter 39, includes bonds issued under Chapter 36 (which we refer to herein as “system restoration bonds),</w:t>
      </w:r>
      <w:bookmarkStart w:id="130" w:name="_cp_text_28_192"/>
      <w:bookmarkEnd w:id="129"/>
      <w:r w:rsidR="009B4FE3" w:rsidRPr="00BD2206">
        <w:rPr>
          <w:rStyle w:val="FootnoteReference"/>
          <w:color w:val="000000" w:themeColor="text1"/>
          <w:u w:color="0000FF"/>
        </w:rPr>
        <w:footnoteReference w:id="14"/>
      </w:r>
      <w:r w:rsidR="009B4FE3" w:rsidRPr="00BD2206">
        <w:rPr>
          <w:color w:val="000000" w:themeColor="text1"/>
        </w:rPr>
        <w:t xml:space="preserve"> </w:t>
      </w:r>
      <w:bookmarkStart w:id="132" w:name="_cp_text_1_194"/>
      <w:bookmarkEnd w:id="130"/>
      <w:r w:rsidR="009B4FE3" w:rsidRPr="00BD2206">
        <w:rPr>
          <w:color w:val="000000" w:themeColor="text1"/>
          <w:u w:color="0000FF"/>
        </w:rPr>
        <w:t>(ii) that the term “transition charges</w:t>
      </w:r>
      <w:r w:rsidR="00CA24F5" w:rsidRPr="00BD2206">
        <w:rPr>
          <w:color w:val="000000" w:themeColor="text1"/>
          <w:u w:color="0000FF"/>
        </w:rPr>
        <w:t>,</w:t>
      </w:r>
      <w:r w:rsidR="009B4FE3" w:rsidRPr="00BD2206">
        <w:rPr>
          <w:color w:val="000000" w:themeColor="text1"/>
          <w:u w:color="0000FF"/>
        </w:rPr>
        <w:t xml:space="preserve">” as defined and used in Subchapter G,  includes all </w:t>
      </w:r>
      <w:proofErr w:type="spellStart"/>
      <w:r w:rsidR="009B4FE3" w:rsidRPr="00BD2206">
        <w:rPr>
          <w:color w:val="000000" w:themeColor="text1"/>
          <w:u w:color="0000FF"/>
        </w:rPr>
        <w:t>nonbypassable</w:t>
      </w:r>
      <w:proofErr w:type="spellEnd"/>
      <w:r w:rsidR="009B4FE3" w:rsidRPr="00BD2206">
        <w:rPr>
          <w:color w:val="000000" w:themeColor="text1"/>
          <w:u w:color="0000FF"/>
        </w:rPr>
        <w:t xml:space="preserve"> amounts approved by the Commission under a financing order to recovery system restoration costs, which we refer to herein as “system restoration charges</w:t>
      </w:r>
      <w:r w:rsidR="00CA24F5" w:rsidRPr="00BD2206">
        <w:rPr>
          <w:color w:val="000000" w:themeColor="text1"/>
          <w:u w:color="0000FF"/>
        </w:rPr>
        <w:t>,</w:t>
      </w:r>
      <w:r w:rsidR="009B4FE3" w:rsidRPr="00BD2206">
        <w:rPr>
          <w:color w:val="000000" w:themeColor="text1"/>
          <w:u w:color="0000FF"/>
        </w:rPr>
        <w:t>”</w:t>
      </w:r>
      <w:bookmarkStart w:id="133" w:name="_cp_text_28_195"/>
      <w:bookmarkEnd w:id="132"/>
      <w:r w:rsidR="009B4FE3" w:rsidRPr="00BD2206">
        <w:rPr>
          <w:rStyle w:val="FootnoteReference"/>
          <w:color w:val="000000" w:themeColor="text1"/>
          <w:u w:color="0000FF"/>
        </w:rPr>
        <w:footnoteReference w:id="15"/>
      </w:r>
      <w:r w:rsidR="009B4FE3" w:rsidRPr="00BD2206">
        <w:rPr>
          <w:color w:val="000000" w:themeColor="text1"/>
        </w:rPr>
        <w:t xml:space="preserve"> </w:t>
      </w:r>
      <w:bookmarkStart w:id="135" w:name="_cp_text_1_197"/>
      <w:bookmarkEnd w:id="133"/>
      <w:r w:rsidR="009B4FE3" w:rsidRPr="00BD2206">
        <w:rPr>
          <w:color w:val="000000" w:themeColor="text1"/>
          <w:u w:color="0000FF"/>
        </w:rPr>
        <w:t>(iii) that the term “financing order” as defined and used in Subchapter G, Chapter 39, includes a financing order authorizing the securitization of</w:t>
      </w:r>
      <w:r w:rsidR="009B4FE3" w:rsidRPr="00BD2206">
        <w:rPr>
          <w:color w:val="000000" w:themeColor="text1"/>
        </w:rPr>
        <w:t xml:space="preserve"> </w:t>
      </w:r>
      <w:bookmarkStart w:id="136" w:name="_cp_text_4_198"/>
      <w:bookmarkEnd w:id="135"/>
      <w:r w:rsidR="009B4FE3" w:rsidRPr="00BD2206">
        <w:rPr>
          <w:color w:val="000000" w:themeColor="text1"/>
          <w:u w:color="008000"/>
        </w:rPr>
        <w:t xml:space="preserve">system restoration </w:t>
      </w:r>
      <w:bookmarkStart w:id="137" w:name="_cp_text_1_199"/>
      <w:bookmarkEnd w:id="136"/>
      <w:r w:rsidR="009B4FE3" w:rsidRPr="00BD2206">
        <w:rPr>
          <w:color w:val="000000" w:themeColor="text1"/>
          <w:u w:color="0000FF"/>
        </w:rPr>
        <w:t>costs, and (iv) that the provisions of Subchapter G, Chapter 39 (</w:t>
      </w:r>
      <w:r w:rsidR="009B4FE3" w:rsidRPr="00BD2206">
        <w:rPr>
          <w:i/>
          <w:color w:val="000000" w:themeColor="text1"/>
          <w:u w:color="0000FF"/>
        </w:rPr>
        <w:t>i.e</w:t>
      </w:r>
      <w:r w:rsidR="009B4FE3" w:rsidRPr="00BD2206">
        <w:rPr>
          <w:color w:val="000000" w:themeColor="text1"/>
          <w:u w:color="0000FF"/>
        </w:rPr>
        <w:t xml:space="preserve">., the provisions with respect to the issuances of transition bonds, the imposition of transition charges, and the creation of </w:t>
      </w:r>
      <w:r w:rsidR="009A4D19" w:rsidRPr="00BD2206">
        <w:rPr>
          <w:color w:val="000000" w:themeColor="text1"/>
          <w:u w:color="0000FF"/>
        </w:rPr>
        <w:t xml:space="preserve">transition </w:t>
      </w:r>
      <w:r w:rsidR="009B4FE3" w:rsidRPr="00BD2206">
        <w:rPr>
          <w:color w:val="000000" w:themeColor="text1"/>
          <w:u w:color="0000FF"/>
        </w:rPr>
        <w:t>property) shall govern financing orders allowing for securitization of system restoration costs and all rights and interests established in such order</w:t>
      </w:r>
      <w:r w:rsidR="009A4D19" w:rsidRPr="00BD2206">
        <w:rPr>
          <w:color w:val="000000" w:themeColor="text1"/>
          <w:u w:color="0000FF"/>
        </w:rPr>
        <w:t>,</w:t>
      </w:r>
      <w:r w:rsidR="009B4FE3" w:rsidRPr="00BD2206">
        <w:rPr>
          <w:color w:val="000000" w:themeColor="text1"/>
          <w:u w:color="0000FF"/>
        </w:rPr>
        <w:t xml:space="preserve"> except to the extent that such provisions conflict with the provisions of Subchapter I, Chapter 36, in which case the latter provisions shall control</w:t>
      </w:r>
      <w:bookmarkStart w:id="138" w:name="_cp_text_5_182"/>
      <w:bookmarkStart w:id="139" w:name="_cp_text_28_202"/>
      <w:bookmarkEnd w:id="137"/>
      <w:bookmarkEnd w:id="138"/>
      <w:r w:rsidR="00492A8C">
        <w:rPr>
          <w:color w:val="000000" w:themeColor="text1"/>
          <w:u w:color="0000FF"/>
        </w:rPr>
        <w:t>.</w:t>
      </w:r>
      <w:r w:rsidR="009B4FE3" w:rsidRPr="00BD2206">
        <w:rPr>
          <w:rStyle w:val="FootnoteReference"/>
          <w:color w:val="000000" w:themeColor="text1"/>
          <w:u w:color="0000FF"/>
        </w:rPr>
        <w:footnoteReference w:id="16"/>
      </w:r>
      <w:bookmarkStart w:id="141" w:name="_cp_text_1_200"/>
      <w:bookmarkStart w:id="142" w:name="_cp_text_1_201"/>
      <w:bookmarkEnd w:id="139"/>
      <w:bookmarkEnd w:id="141"/>
      <w:bookmarkEnd w:id="142"/>
      <w:r w:rsidRPr="00BD2206">
        <w:rPr>
          <w:color w:val="000000" w:themeColor="text1"/>
        </w:rPr>
        <w:t xml:space="preserve">         </w:t>
      </w:r>
    </w:p>
    <w:p w14:paraId="4521F0A4" w14:textId="293E5108" w:rsidR="003631D6" w:rsidRPr="00BD2206" w:rsidRDefault="003631D6" w:rsidP="003631D6">
      <w:pPr>
        <w:pStyle w:val="BodyText"/>
      </w:pPr>
      <w:r w:rsidRPr="00BD2206">
        <w:rPr>
          <w:color w:val="000000" w:themeColor="text1"/>
        </w:rPr>
        <w:t>To allow for securitization of an electric utility’s qualified costs</w:t>
      </w:r>
      <w:r w:rsidR="009B4FE3" w:rsidRPr="00BD2206">
        <w:rPr>
          <w:snapToGrid/>
          <w:color w:val="000000" w:themeColor="text1"/>
          <w:szCs w:val="24"/>
          <w:u w:color="0000FF"/>
        </w:rPr>
        <w:t xml:space="preserve"> </w:t>
      </w:r>
      <w:r w:rsidR="009B4FE3" w:rsidRPr="00BD2206">
        <w:rPr>
          <w:color w:val="000000" w:themeColor="text1"/>
        </w:rPr>
        <w:t>associated with system restoration costs</w:t>
      </w:r>
      <w:r w:rsidRPr="00BD2206">
        <w:rPr>
          <w:color w:val="000000" w:themeColor="text1"/>
        </w:rPr>
        <w:t xml:space="preserve">, the Commission may authorize the issuance of </w:t>
      </w:r>
      <w:r w:rsidR="009B4FE3" w:rsidRPr="00BD2206">
        <w:rPr>
          <w:color w:val="000000" w:themeColor="text1"/>
        </w:rPr>
        <w:t xml:space="preserve">transition bonds </w:t>
      </w:r>
      <w:r w:rsidRPr="00BD2206">
        <w:rPr>
          <w:color w:val="000000" w:themeColor="text1"/>
        </w:rPr>
        <w:t xml:space="preserve">known as </w:t>
      </w:r>
      <w:r w:rsidR="00EE6044" w:rsidRPr="00BD2206">
        <w:rPr>
          <w:color w:val="000000" w:themeColor="text1"/>
        </w:rPr>
        <w:t>system restoration</w:t>
      </w:r>
      <w:r w:rsidRPr="00BD2206">
        <w:rPr>
          <w:color w:val="000000" w:themeColor="text1"/>
        </w:rPr>
        <w:t xml:space="preserve"> bonds.  </w:t>
      </w:r>
      <w:r w:rsidR="00BE0046" w:rsidRPr="00BD2206">
        <w:rPr>
          <w:color w:val="000000" w:themeColor="text1"/>
        </w:rPr>
        <w:t>Transition</w:t>
      </w:r>
      <w:r w:rsidRPr="00BD2206">
        <w:rPr>
          <w:color w:val="000000" w:themeColor="text1"/>
        </w:rPr>
        <w:t xml:space="preserve"> bonds are generally defined as evidences of indebtedness or ownership that are issued under a financing order, are limited to a term of </w:t>
      </w:r>
      <w:proofErr w:type="spellStart"/>
      <w:r w:rsidRPr="00BD2206">
        <w:rPr>
          <w:color w:val="000000" w:themeColor="text1"/>
        </w:rPr>
        <w:t>not longer</w:t>
      </w:r>
      <w:proofErr w:type="spellEnd"/>
      <w:r w:rsidRPr="00BD2206">
        <w:rPr>
          <w:color w:val="000000" w:themeColor="text1"/>
        </w:rPr>
        <w:t xml:space="preserve"> than 15 years, and are secured by or payable from transition property</w:t>
      </w:r>
      <w:r w:rsidR="009B4FE3" w:rsidRPr="00BD2206">
        <w:rPr>
          <w:color w:val="000000" w:themeColor="text1"/>
        </w:rPr>
        <w:t>,</w:t>
      </w:r>
      <w:r w:rsidRPr="00BD2206">
        <w:rPr>
          <w:color w:val="000000" w:themeColor="text1"/>
          <w:szCs w:val="24"/>
          <w:vertAlign w:val="superscript"/>
        </w:rPr>
        <w:t xml:space="preserve"> </w:t>
      </w:r>
      <w:r w:rsidR="009B4FE3" w:rsidRPr="00BD2206">
        <w:rPr>
          <w:color w:val="000000" w:themeColor="text1"/>
          <w:u w:color="0000FF"/>
        </w:rPr>
        <w:t xml:space="preserve">which includes all rights and </w:t>
      </w:r>
      <w:r w:rsidR="009B4FE3" w:rsidRPr="00BD2206">
        <w:t xml:space="preserve">interests of an electric utility under a financing order at the time such rights are transferred to an assignee or pledged in connection with the issuance of transition </w:t>
      </w:r>
      <w:r w:rsidR="009B4FE3" w:rsidRPr="00BD2206">
        <w:rPr>
          <w:color w:val="000000" w:themeColor="text1"/>
        </w:rPr>
        <w:t>bonds</w:t>
      </w:r>
      <w:r w:rsidR="009B4FE3" w:rsidRPr="00BD2206">
        <w:rPr>
          <w:color w:val="000000" w:themeColor="text1"/>
          <w:u w:color="0000FF"/>
        </w:rPr>
        <w:t>.</w:t>
      </w:r>
      <w:r w:rsidR="009B4FE3" w:rsidRPr="00BD2206">
        <w:rPr>
          <w:rStyle w:val="FootnoteReference"/>
          <w:color w:val="000000" w:themeColor="text1"/>
          <w:u w:color="0000FF"/>
        </w:rPr>
        <w:footnoteReference w:id="17"/>
      </w:r>
      <w:r w:rsidR="009B4FE3" w:rsidRPr="00BD2206">
        <w:rPr>
          <w:color w:val="000000" w:themeColor="text1"/>
          <w:vertAlign w:val="superscript"/>
        </w:rPr>
        <w:t xml:space="preserve">  </w:t>
      </w:r>
      <w:r w:rsidRPr="00BD2206">
        <w:rPr>
          <w:color w:val="000000" w:themeColor="text1"/>
        </w:rPr>
        <w:t xml:space="preserve">The </w:t>
      </w:r>
      <w:r w:rsidRPr="00BD2206">
        <w:t xml:space="preserve">net proceeds from the sale of </w:t>
      </w:r>
      <w:r w:rsidR="006F13D7" w:rsidRPr="00BD2206">
        <w:t>system restoration</w:t>
      </w:r>
      <w:r w:rsidRPr="00BD2206">
        <w:t xml:space="preserve"> bonds must be used to reduce the amount of a utility’s recoverable </w:t>
      </w:r>
      <w:r w:rsidR="006F13D7" w:rsidRPr="00BD2206">
        <w:t>system restoration costs</w:t>
      </w:r>
      <w:r w:rsidRPr="00BD2206">
        <w:t>.</w:t>
      </w:r>
      <w:r w:rsidR="00A71A52" w:rsidRPr="00BD2206">
        <w:rPr>
          <w:rStyle w:val="FootnoteReference"/>
        </w:rPr>
        <w:footnoteReference w:id="18"/>
      </w:r>
      <w:r w:rsidRPr="00BD2206">
        <w:t xml:space="preserve">  If </w:t>
      </w:r>
      <w:r w:rsidR="006F13D7" w:rsidRPr="00BD2206">
        <w:t>system restoration</w:t>
      </w:r>
      <w:r w:rsidRPr="00BD2206">
        <w:t xml:space="preserve"> bonds are approved and issued, retail </w:t>
      </w:r>
      <w:r w:rsidR="004604C9" w:rsidRPr="00BD2206">
        <w:t xml:space="preserve">customers </w:t>
      </w:r>
      <w:r w:rsidRPr="00BD2206">
        <w:t xml:space="preserve">must pay the principal, interest, and related charges of the </w:t>
      </w:r>
      <w:r w:rsidR="004100A4" w:rsidRPr="00BD2206">
        <w:t xml:space="preserve">system restoration </w:t>
      </w:r>
      <w:r w:rsidRPr="00BD2206">
        <w:t xml:space="preserve">bonds through </w:t>
      </w:r>
      <w:r w:rsidR="00A56180" w:rsidRPr="00BD2206">
        <w:t xml:space="preserve">system restoration </w:t>
      </w:r>
      <w:r w:rsidRPr="00BD2206">
        <w:t>charges.</w:t>
      </w:r>
      <w:r w:rsidR="00A71A52" w:rsidRPr="00BD2206">
        <w:rPr>
          <w:rStyle w:val="FootnoteReference"/>
        </w:rPr>
        <w:footnoteReference w:id="19"/>
      </w:r>
      <w:r w:rsidRPr="00BD2206">
        <w:t xml:space="preserve">  </w:t>
      </w:r>
      <w:r w:rsidR="009761B6" w:rsidRPr="00BD2206">
        <w:t xml:space="preserve">System restoration </w:t>
      </w:r>
      <w:r w:rsidRPr="00BD2206">
        <w:t xml:space="preserve">charges are </w:t>
      </w:r>
      <w:proofErr w:type="spellStart"/>
      <w:r w:rsidRPr="00BD2206">
        <w:t>nonbypassable</w:t>
      </w:r>
      <w:proofErr w:type="spellEnd"/>
      <w:r w:rsidRPr="00BD2206">
        <w:t xml:space="preserve"> charges that will be paid as a component of the monthly charge for electric service.</w:t>
      </w:r>
      <w:r w:rsidR="00A71A52" w:rsidRPr="00BD2206">
        <w:rPr>
          <w:rStyle w:val="FootnoteReference"/>
        </w:rPr>
        <w:footnoteReference w:id="20"/>
      </w:r>
      <w:r w:rsidRPr="00BD2206">
        <w:t xml:space="preserve">  </w:t>
      </w:r>
      <w:r w:rsidR="009761B6" w:rsidRPr="00BD2206">
        <w:t xml:space="preserve">System restoration </w:t>
      </w:r>
      <w:r w:rsidRPr="00BD2206">
        <w:t>charges must be approved by the Commission pursuant to a financing order.</w:t>
      </w:r>
      <w:r w:rsidRPr="00BD2206">
        <w:rPr>
          <w:rStyle w:val="FootnoteReference"/>
        </w:rPr>
        <w:footnoteReference w:id="21"/>
      </w:r>
      <w:bookmarkEnd w:id="121"/>
      <w:bookmarkEnd w:id="122"/>
      <w:bookmarkEnd w:id="123"/>
      <w:bookmarkEnd w:id="124"/>
      <w:bookmarkEnd w:id="125"/>
    </w:p>
    <w:p w14:paraId="42198D62" w14:textId="793C615E" w:rsidR="003631D6" w:rsidRPr="00BD2206" w:rsidRDefault="003631D6" w:rsidP="003631D6">
      <w:pPr>
        <w:pStyle w:val="BodyText"/>
      </w:pPr>
      <w:bookmarkStart w:id="146" w:name="_Toc83701840"/>
      <w:bookmarkStart w:id="147" w:name="_Toc83702510"/>
      <w:bookmarkStart w:id="148" w:name="_Toc83702955"/>
      <w:bookmarkStart w:id="149" w:name="_Toc83703689"/>
      <w:bookmarkStart w:id="150" w:name="_Toc88378115"/>
      <w:r w:rsidRPr="00BD2206">
        <w:t xml:space="preserve">The Commission may adopt a financing order only if it finds that the total amount of revenues to be collected under the financing order is less than the revenue requirement that would be recovered using conventional financing methods and that the financing order is consistent with the standards of PURA </w:t>
      </w:r>
      <w:r w:rsidR="006F13D7" w:rsidRPr="00BD2206">
        <w:t>§§ 36.401 and 39.301.</w:t>
      </w:r>
      <w:r w:rsidR="006F13D7" w:rsidRPr="00BD2206">
        <w:rPr>
          <w:rStyle w:val="FootnoteReference"/>
        </w:rPr>
        <w:footnoteReference w:id="22"/>
      </w:r>
      <w:r w:rsidRPr="00BD2206">
        <w:t xml:space="preserve">  The Commission must ensure that the net proceeds of </w:t>
      </w:r>
      <w:r w:rsidR="006F13D7" w:rsidRPr="00BD2206">
        <w:t xml:space="preserve">system </w:t>
      </w:r>
      <w:r w:rsidR="002B1849" w:rsidRPr="00BD2206">
        <w:t>restoration</w:t>
      </w:r>
      <w:r w:rsidRPr="00BD2206">
        <w:t xml:space="preserve"> bonds may be used only for the purpose of reducing the amount of recoverable</w:t>
      </w:r>
      <w:r w:rsidR="002B1849" w:rsidRPr="00BD2206">
        <w:t xml:space="preserve"> system restoration</w:t>
      </w:r>
      <w:r w:rsidRPr="00BD2206">
        <w:t xml:space="preserve"> costs.</w:t>
      </w:r>
      <w:r w:rsidR="00A71A52" w:rsidRPr="00BD2206">
        <w:rPr>
          <w:rStyle w:val="FootnoteReference"/>
        </w:rPr>
        <w:footnoteReference w:id="23"/>
      </w:r>
      <w:r w:rsidRPr="00BD2206">
        <w:t xml:space="preserve">  In addition, the Commission must ensure that (1) securitization provides tangible and quantifiable benefits to </w:t>
      </w:r>
      <w:r w:rsidR="00824E79" w:rsidRPr="00BD2206">
        <w:t xml:space="preserve">ratepayers </w:t>
      </w:r>
      <w:r w:rsidRPr="00BD2206">
        <w:t xml:space="preserve">greater than would have been achieved absent the issuance of the </w:t>
      </w:r>
      <w:r w:rsidR="002B1849" w:rsidRPr="00BD2206">
        <w:t>system restoration</w:t>
      </w:r>
      <w:r w:rsidRPr="00BD2206">
        <w:t xml:space="preserve"> bonds,</w:t>
      </w:r>
      <w:r w:rsidR="00A71A52" w:rsidRPr="00BD2206">
        <w:rPr>
          <w:rStyle w:val="FootnoteReference"/>
        </w:rPr>
        <w:footnoteReference w:id="24"/>
      </w:r>
      <w:r w:rsidRPr="00BD2206">
        <w:t xml:space="preserve"> and (2) the structuring and pricing of the </w:t>
      </w:r>
      <w:r w:rsidR="002B1849" w:rsidRPr="00BD2206">
        <w:t>system restoration</w:t>
      </w:r>
      <w:r w:rsidRPr="00BD2206">
        <w:t xml:space="preserve"> bonds result in the lowest </w:t>
      </w:r>
      <w:r w:rsidR="002B1849" w:rsidRPr="00BD2206">
        <w:t>system restoration</w:t>
      </w:r>
      <w:r w:rsidRPr="00BD2206">
        <w:t xml:space="preserve"> bond charges consistent with market conditions and the terms of a financing order.</w:t>
      </w:r>
      <w:r w:rsidR="00A71A52" w:rsidRPr="00BD2206">
        <w:rPr>
          <w:rStyle w:val="FootnoteReference"/>
        </w:rPr>
        <w:footnoteReference w:id="25"/>
      </w:r>
      <w:r w:rsidRPr="00BD2206">
        <w:t xml:space="preserve">  Finally, the amount securitized may not exceed the present value of the revenue requirement over the life of the proposed </w:t>
      </w:r>
      <w:r w:rsidR="002B1849" w:rsidRPr="00BD2206">
        <w:t>system restoration</w:t>
      </w:r>
      <w:r w:rsidRPr="00BD2206">
        <w:t xml:space="preserve"> bonds associated with the amounts sought to be securitized, and the present value calculation must use a discount rate equal to the proposed interest rate on the </w:t>
      </w:r>
      <w:r w:rsidR="002B1849" w:rsidRPr="00BD2206">
        <w:t>system restoration</w:t>
      </w:r>
      <w:r w:rsidRPr="00BD2206">
        <w:t xml:space="preserve"> bonds.</w:t>
      </w:r>
      <w:r w:rsidR="00A71A52" w:rsidRPr="00BD2206">
        <w:rPr>
          <w:rStyle w:val="FootnoteReference"/>
        </w:rPr>
        <w:footnoteReference w:id="26"/>
      </w:r>
      <w:r w:rsidRPr="00BD2206">
        <w:t xml:space="preserve">  All of these statutory requirements are designed to ensure that securitization will provide real benefits to </w:t>
      </w:r>
      <w:r w:rsidR="00824E79" w:rsidRPr="00BD2206">
        <w:t>ratepayers</w:t>
      </w:r>
      <w:r w:rsidRPr="00BD2206">
        <w:t>.</w:t>
      </w:r>
      <w:bookmarkEnd w:id="146"/>
      <w:bookmarkEnd w:id="147"/>
      <w:bookmarkEnd w:id="148"/>
      <w:bookmarkEnd w:id="149"/>
      <w:bookmarkEnd w:id="150"/>
    </w:p>
    <w:p w14:paraId="6951BF37" w14:textId="78E76E9A" w:rsidR="003631D6" w:rsidRPr="00BD2206" w:rsidRDefault="003631D6" w:rsidP="003631D6">
      <w:pPr>
        <w:pStyle w:val="BodyText"/>
      </w:pPr>
      <w:bookmarkStart w:id="151" w:name="_Toc83701841"/>
      <w:bookmarkStart w:id="152" w:name="_Toc83702511"/>
      <w:bookmarkStart w:id="153" w:name="_Toc83702956"/>
      <w:bookmarkStart w:id="154" w:name="_Toc83703690"/>
      <w:bookmarkStart w:id="155" w:name="_Toc88378116"/>
      <w:r w:rsidRPr="00BD2206">
        <w:t xml:space="preserve">The essential finding by the Commission that is needed to issue a financing order is that </w:t>
      </w:r>
      <w:r w:rsidR="00824E79" w:rsidRPr="00BD2206">
        <w:t xml:space="preserve">ratepayers </w:t>
      </w:r>
      <w:r w:rsidRPr="00BD2206">
        <w:t xml:space="preserve">will receive tangible and quantifiable benefits as a result of securitization.  This finding can only be made upon a showing of economic benefits to </w:t>
      </w:r>
      <w:r w:rsidR="00824E79" w:rsidRPr="00BD2206">
        <w:t xml:space="preserve">ratepayers </w:t>
      </w:r>
      <w:r w:rsidRPr="00BD2206">
        <w:t xml:space="preserve">through an economic analysis.  An economic analysis is necessary to recognize the time value of money in evaluating whether and the extent to which benefits accrue from securitization.  Moreover, an economic analysis recognizes the concept that the timing of a payment can be as important as the magnitude of a payment in determining the value of the payment.  Thus, an analysis showing an economic benefit is necessary to quantify a tangible benefit to </w:t>
      </w:r>
      <w:r w:rsidR="00824E79" w:rsidRPr="00BD2206">
        <w:t>ratepayers</w:t>
      </w:r>
      <w:r w:rsidRPr="00BD2206">
        <w:t>.</w:t>
      </w:r>
      <w:bookmarkEnd w:id="151"/>
      <w:bookmarkEnd w:id="152"/>
      <w:bookmarkEnd w:id="153"/>
      <w:bookmarkEnd w:id="154"/>
      <w:bookmarkEnd w:id="155"/>
    </w:p>
    <w:p w14:paraId="0021A04A" w14:textId="77777777" w:rsidR="003631D6" w:rsidRPr="00BD2206" w:rsidRDefault="003631D6" w:rsidP="003631D6">
      <w:pPr>
        <w:pStyle w:val="BodyText"/>
      </w:pPr>
      <w:bookmarkStart w:id="156" w:name="_Toc88378117"/>
      <w:bookmarkStart w:id="157" w:name="_Toc83701842"/>
      <w:bookmarkStart w:id="158" w:name="_Toc83702512"/>
      <w:bookmarkStart w:id="159" w:name="_Toc83702957"/>
      <w:bookmarkStart w:id="160" w:name="_Toc83703691"/>
      <w:r w:rsidRPr="00BD2206">
        <w:t xml:space="preserve">Economic benefits also depend upon a favorable financial market—one in which </w:t>
      </w:r>
      <w:r w:rsidR="005977AC" w:rsidRPr="00BD2206">
        <w:t>system restoration</w:t>
      </w:r>
      <w:r w:rsidRPr="00BD2206">
        <w:t xml:space="preserve"> bonds may be sold at an interest rate lower than the carrying costs of the assets being securitized.  The precise interest rate at which </w:t>
      </w:r>
      <w:r w:rsidR="005977AC" w:rsidRPr="00BD2206">
        <w:t xml:space="preserve">system restoration </w:t>
      </w:r>
      <w:r w:rsidRPr="00BD2206">
        <w:t>bonds can be sold in a future market, however, is not known today.  Nevertheless, benefits can be calculated based upon certain known facts (</w:t>
      </w:r>
      <w:r w:rsidRPr="00BD2206">
        <w:rPr>
          <w:i/>
        </w:rPr>
        <w:t>e.g.</w:t>
      </w:r>
      <w:r w:rsidRPr="00BD2206">
        <w:t xml:space="preserve"> the amount of assets to be securitized and the cost of the alternative to securitization) and assumptions (</w:t>
      </w:r>
      <w:r w:rsidRPr="00BD2206">
        <w:rPr>
          <w:i/>
        </w:rPr>
        <w:t>e.g.</w:t>
      </w:r>
      <w:r w:rsidRPr="00BD2206">
        <w:t xml:space="preserve"> the interest rate of the </w:t>
      </w:r>
      <w:r w:rsidR="005977AC" w:rsidRPr="00BD2206">
        <w:t xml:space="preserve">system restoration </w:t>
      </w:r>
      <w:r w:rsidRPr="00BD2206">
        <w:t xml:space="preserve">bonds, the term of the </w:t>
      </w:r>
      <w:r w:rsidR="005977AC" w:rsidRPr="00BD2206">
        <w:t xml:space="preserve">system restoration </w:t>
      </w:r>
      <w:r w:rsidRPr="00BD2206">
        <w:t>bonds and the amount of other qualified costs).  By analyzing the proposed securitization based upon those facts and assumptions, a determination can be made as to whether tangible and quantifiable benefits result.</w:t>
      </w:r>
      <w:bookmarkEnd w:id="156"/>
      <w:r w:rsidRPr="00BD2206">
        <w:t xml:space="preserve">  </w:t>
      </w:r>
      <w:bookmarkEnd w:id="157"/>
      <w:bookmarkEnd w:id="158"/>
      <w:bookmarkEnd w:id="159"/>
      <w:bookmarkEnd w:id="160"/>
      <w:r w:rsidRPr="00BD2206">
        <w:t xml:space="preserve">To ensure that benefits are realized, the securitization transaction must conform to the structure ordered by the Commission and an issuance advice letter must be presented to the Commission immediately prior to issuance of the </w:t>
      </w:r>
      <w:r w:rsidR="005977AC" w:rsidRPr="00BD2206">
        <w:t xml:space="preserve">system restoration </w:t>
      </w:r>
      <w:r w:rsidRPr="00BD2206">
        <w:t xml:space="preserve">bonds demonstrating that the actual structure and costs of the bonds will provide tangible and quantifiable benefits.  The cost-benefit analysis contained in the issuance advice letter must reflect the actual structure of the </w:t>
      </w:r>
      <w:r w:rsidR="005977AC" w:rsidRPr="00BD2206">
        <w:t xml:space="preserve">system restoration </w:t>
      </w:r>
      <w:r w:rsidRPr="00BD2206">
        <w:t>bonds.</w:t>
      </w:r>
    </w:p>
    <w:p w14:paraId="250EDB4D" w14:textId="1DF56443" w:rsidR="003631D6" w:rsidRPr="00BD2206" w:rsidRDefault="00DA6854" w:rsidP="003631D6">
      <w:pPr>
        <w:pStyle w:val="BodyText"/>
      </w:pPr>
      <w:bookmarkStart w:id="161" w:name="_Toc83701843"/>
      <w:bookmarkStart w:id="162" w:name="_Toc83702513"/>
      <w:bookmarkStart w:id="163" w:name="_Toc83702958"/>
      <w:bookmarkStart w:id="164" w:name="_Toc83703692"/>
      <w:bookmarkStart w:id="165" w:name="_Toc88378118"/>
      <w:r w:rsidRPr="00BD2206">
        <w:t>AEP Texas</w:t>
      </w:r>
      <w:r w:rsidR="005977AC" w:rsidRPr="00BD2206">
        <w:t>’</w:t>
      </w:r>
      <w:r w:rsidR="003631D6" w:rsidRPr="00BD2206">
        <w:t xml:space="preserve"> financial analysis shows that securitizing the amount requested by </w:t>
      </w:r>
      <w:r w:rsidRPr="00BD2206">
        <w:t>AEP Texas</w:t>
      </w:r>
      <w:r w:rsidR="003631D6" w:rsidRPr="00BD2206">
        <w:t xml:space="preserve"> will produce an economic benefit to </w:t>
      </w:r>
      <w:r w:rsidR="00824E79" w:rsidRPr="00BD2206">
        <w:t xml:space="preserve">ratepayers </w:t>
      </w:r>
      <w:r w:rsidR="003631D6" w:rsidRPr="00BD2206">
        <w:t xml:space="preserve">in an amount of approximately </w:t>
      </w:r>
      <w:r w:rsidR="002C7828" w:rsidRPr="00BD2206">
        <w:t>$52</w:t>
      </w:r>
      <w:r w:rsidR="00303967" w:rsidRPr="00BD2206">
        <w:t>.4</w:t>
      </w:r>
      <w:r w:rsidR="002C7828" w:rsidRPr="00BD2206">
        <w:t xml:space="preserve"> </w:t>
      </w:r>
      <w:r w:rsidR="003631D6" w:rsidRPr="00BD2206">
        <w:t xml:space="preserve">million on a present value basis using the expected weighted-average interest rate of </w:t>
      </w:r>
      <w:r w:rsidR="002C7828" w:rsidRPr="00BD2206">
        <w:t>3.48</w:t>
      </w:r>
      <w:r w:rsidR="003631D6" w:rsidRPr="00BD2206">
        <w:t>%.</w:t>
      </w:r>
      <w:r w:rsidR="003631D6" w:rsidRPr="00BD2206">
        <w:rPr>
          <w:rStyle w:val="FootnoteReference"/>
        </w:rPr>
        <w:footnoteReference w:id="27"/>
      </w:r>
      <w:r w:rsidR="003631D6" w:rsidRPr="00BD2206">
        <w:t xml:space="preserve">  A benefit of approximately </w:t>
      </w:r>
      <w:r w:rsidR="002C7828" w:rsidRPr="00BD2206">
        <w:t>$</w:t>
      </w:r>
      <w:r w:rsidR="009A5528" w:rsidRPr="00BD2206">
        <w:t>19.7</w:t>
      </w:r>
      <w:r w:rsidR="002C7828" w:rsidRPr="00BD2206">
        <w:t xml:space="preserve"> </w:t>
      </w:r>
      <w:r w:rsidR="003631D6" w:rsidRPr="00BD2206">
        <w:t xml:space="preserve">million will result even if the bond market is </w:t>
      </w:r>
      <w:r w:rsidR="00A51BDC" w:rsidRPr="00BD2206">
        <w:t xml:space="preserve">less favorable than current market conditions </w:t>
      </w:r>
      <w:r w:rsidR="003631D6" w:rsidRPr="00BD2206">
        <w:t xml:space="preserve">and </w:t>
      </w:r>
      <w:r w:rsidR="005977AC" w:rsidRPr="00BD2206">
        <w:t xml:space="preserve">system restoration </w:t>
      </w:r>
      <w:r w:rsidR="003631D6" w:rsidRPr="00BD2206">
        <w:t xml:space="preserve">bonds have to be issued at the worst-case weighted-average interest rate of </w:t>
      </w:r>
      <w:r w:rsidR="009A5528" w:rsidRPr="00BD2206">
        <w:t>6.00</w:t>
      </w:r>
      <w:r w:rsidR="002C7828" w:rsidRPr="00BD2206">
        <w:t>%.</w:t>
      </w:r>
      <w:r w:rsidR="002C7828" w:rsidRPr="00BD2206">
        <w:rPr>
          <w:rStyle w:val="FootnoteReference"/>
        </w:rPr>
        <w:footnoteReference w:id="28"/>
      </w:r>
      <w:r w:rsidR="002C7828" w:rsidRPr="00BD2206">
        <w:t xml:space="preserve">  </w:t>
      </w:r>
      <w:r w:rsidR="003631D6" w:rsidRPr="00BD2206">
        <w:t xml:space="preserve">The economic benefit to </w:t>
      </w:r>
      <w:r w:rsidR="00824E79" w:rsidRPr="00BD2206">
        <w:t xml:space="preserve">ratepayers </w:t>
      </w:r>
      <w:r w:rsidR="003631D6" w:rsidRPr="00BD2206">
        <w:t xml:space="preserve">will be larger if a more favorable market allows the </w:t>
      </w:r>
      <w:r w:rsidR="005977AC" w:rsidRPr="00BD2206">
        <w:t xml:space="preserve">system restoration </w:t>
      </w:r>
      <w:r w:rsidR="003631D6" w:rsidRPr="00BD2206">
        <w:t>bonds to be issued at a lower interest rate.</w:t>
      </w:r>
      <w:bookmarkEnd w:id="161"/>
      <w:bookmarkEnd w:id="162"/>
      <w:bookmarkEnd w:id="163"/>
      <w:bookmarkEnd w:id="164"/>
      <w:bookmarkEnd w:id="165"/>
      <w:r w:rsidR="003631D6" w:rsidRPr="00BD2206">
        <w:t xml:space="preserve">  In the issuance advice letter, </w:t>
      </w:r>
      <w:r w:rsidRPr="00BD2206">
        <w:t>AEP Texas</w:t>
      </w:r>
      <w:r w:rsidR="003631D6" w:rsidRPr="00BD2206">
        <w:t xml:space="preserve"> will be required to update the benefit analyses to verify that the final </w:t>
      </w:r>
      <w:r w:rsidR="005977AC" w:rsidRPr="00BD2206">
        <w:t xml:space="preserve">system restoration </w:t>
      </w:r>
      <w:r w:rsidR="003631D6" w:rsidRPr="00BD2206">
        <w:t>bond structure and pricing satisfies the statutory financial tests.</w:t>
      </w:r>
    </w:p>
    <w:p w14:paraId="45FFD717" w14:textId="672077CC" w:rsidR="003631D6" w:rsidRPr="00BD2206" w:rsidRDefault="003631D6" w:rsidP="003631D6">
      <w:pPr>
        <w:pStyle w:val="BodyText"/>
      </w:pPr>
      <w:bookmarkStart w:id="166" w:name="_Toc83701844"/>
      <w:bookmarkStart w:id="167" w:name="_Toc83702514"/>
      <w:bookmarkStart w:id="168" w:name="_Toc83702959"/>
      <w:bookmarkStart w:id="169" w:name="_Toc83703693"/>
      <w:bookmarkStart w:id="170" w:name="_Toc88378119"/>
      <w:r w:rsidRPr="00BD2206">
        <w:t>To issue a financing order, PURA also requires that the Commission find that the total amount of revenues collected under the financing order will be less than would otherwise have been collected under conventional financing methods.</w:t>
      </w:r>
      <w:r w:rsidR="00A71A52" w:rsidRPr="00BD2206">
        <w:rPr>
          <w:rStyle w:val="FootnoteReference"/>
        </w:rPr>
        <w:footnoteReference w:id="29"/>
      </w:r>
      <w:r w:rsidRPr="00BD2206">
        <w:t xml:space="preserve">  In this proceeding, </w:t>
      </w:r>
      <w:r w:rsidR="00DA6854" w:rsidRPr="00BD2206">
        <w:t>AEP Texas</w:t>
      </w:r>
      <w:r w:rsidR="005977AC" w:rsidRPr="00BD2206">
        <w:t>’</w:t>
      </w:r>
      <w:r w:rsidRPr="00BD2206">
        <w:t xml:space="preserve"> financial analysis of the amount sought to be securitized under worst-case market conditions</w:t>
      </w:r>
      <w:r w:rsidR="004F34E4" w:rsidRPr="00BD2206">
        <w:t>,</w:t>
      </w:r>
      <w:r w:rsidRPr="00BD2206">
        <w:t xml:space="preserve"> in which the bonds bear </w:t>
      </w:r>
      <w:r w:rsidR="004F34E4" w:rsidRPr="00BD2206">
        <w:t xml:space="preserve">a </w:t>
      </w:r>
      <w:r w:rsidR="009A5528" w:rsidRPr="00BD2206">
        <w:t>6.00</w:t>
      </w:r>
      <w:r w:rsidR="00E21E55" w:rsidRPr="00BD2206">
        <w:t xml:space="preserve">% </w:t>
      </w:r>
      <w:r w:rsidRPr="00BD2206">
        <w:t>weighted-average interest rate</w:t>
      </w:r>
      <w:r w:rsidR="004F34E4" w:rsidRPr="00BD2206">
        <w:t>,</w:t>
      </w:r>
      <w:r w:rsidRPr="00BD2206">
        <w:t xml:space="preserve"> demonstrates that revenues will be reduced by approximately </w:t>
      </w:r>
      <w:r w:rsidR="00E21E55" w:rsidRPr="00BD2206">
        <w:t>$</w:t>
      </w:r>
      <w:r w:rsidR="009A5528" w:rsidRPr="00BD2206">
        <w:t>26.8</w:t>
      </w:r>
      <w:r w:rsidR="00E21E55" w:rsidRPr="00BD2206">
        <w:t xml:space="preserve"> </w:t>
      </w:r>
      <w:r w:rsidRPr="00BD2206">
        <w:t>million on a nominal basis under this Financing Order compared to the amount that would be recovered under conventional financing methods.</w:t>
      </w:r>
      <w:r w:rsidRPr="00BD2206">
        <w:rPr>
          <w:rStyle w:val="FootnoteReference"/>
        </w:rPr>
        <w:footnoteReference w:id="30"/>
      </w:r>
      <w:r w:rsidRPr="00BD2206">
        <w:t xml:space="preserve">  Under the expected scenario in which the bonds are issued at a </w:t>
      </w:r>
      <w:r w:rsidR="00E21E55" w:rsidRPr="00BD2206">
        <w:t xml:space="preserve">3.48% </w:t>
      </w:r>
      <w:r w:rsidRPr="00BD2206">
        <w:t xml:space="preserve">weighted-average interest rate, securitization saves </w:t>
      </w:r>
      <w:r w:rsidR="00824E79" w:rsidRPr="00BD2206">
        <w:t xml:space="preserve">ratepayers </w:t>
      </w:r>
      <w:r w:rsidRPr="00BD2206">
        <w:t xml:space="preserve">approximately </w:t>
      </w:r>
      <w:r w:rsidR="00E21E55" w:rsidRPr="00BD2206">
        <w:t>$</w:t>
      </w:r>
      <w:r w:rsidR="00492A8C">
        <w:t>62.9</w:t>
      </w:r>
      <w:r w:rsidR="00E21E55" w:rsidRPr="00BD2206">
        <w:t xml:space="preserve"> </w:t>
      </w:r>
      <w:r w:rsidRPr="00BD2206">
        <w:t>million in nominal revenue.</w:t>
      </w:r>
      <w:r w:rsidRPr="00BD2206">
        <w:rPr>
          <w:rStyle w:val="FootnoteReference"/>
        </w:rPr>
        <w:footnoteReference w:id="31"/>
      </w:r>
      <w:r w:rsidRPr="00BD2206">
        <w:t xml:space="preserve">  If </w:t>
      </w:r>
      <w:r w:rsidR="00A56180" w:rsidRPr="00BD2206">
        <w:t xml:space="preserve">system restoration </w:t>
      </w:r>
      <w:r w:rsidRPr="00BD2206">
        <w:t>bonds are issued in a more favorable market, this reduction in revenues will be larger.</w:t>
      </w:r>
      <w:bookmarkEnd w:id="166"/>
      <w:bookmarkEnd w:id="167"/>
      <w:bookmarkEnd w:id="168"/>
      <w:bookmarkEnd w:id="169"/>
      <w:bookmarkEnd w:id="170"/>
    </w:p>
    <w:p w14:paraId="02EB657A" w14:textId="1CAC7A61" w:rsidR="003631D6" w:rsidRPr="00BD2206" w:rsidRDefault="003631D6" w:rsidP="003631D6">
      <w:pPr>
        <w:pStyle w:val="BodyText"/>
      </w:pPr>
      <w:bookmarkStart w:id="171" w:name="_Toc83701845"/>
      <w:bookmarkStart w:id="172" w:name="_Toc83702515"/>
      <w:bookmarkStart w:id="173" w:name="_Toc83702960"/>
      <w:bookmarkStart w:id="174" w:name="_Toc83703694"/>
      <w:bookmarkStart w:id="175" w:name="_Toc88378120"/>
      <w:r w:rsidRPr="00BD2206">
        <w:t xml:space="preserve">Before the </w:t>
      </w:r>
      <w:r w:rsidR="00856D6A" w:rsidRPr="00BD2206">
        <w:t xml:space="preserve">system restoration </w:t>
      </w:r>
      <w:r w:rsidRPr="00BD2206">
        <w:t xml:space="preserve">bonds may be issued, </w:t>
      </w:r>
      <w:r w:rsidR="00DA6854" w:rsidRPr="00BD2206">
        <w:t>AEP Texas</w:t>
      </w:r>
      <w:r w:rsidRPr="00BD2206">
        <w:t xml:space="preserve"> must submit to the Commission an issuance advice letter in which it demonstrates, based upon the actual market conditions at the time of pricing, that the proposed structure and pricing of the </w:t>
      </w:r>
      <w:r w:rsidR="00856D6A" w:rsidRPr="00BD2206">
        <w:t xml:space="preserve">system restoration </w:t>
      </w:r>
      <w:r w:rsidRPr="00BD2206">
        <w:t xml:space="preserve">bonds will provide real economic benefits to retail </w:t>
      </w:r>
      <w:r w:rsidR="00824E79" w:rsidRPr="00BD2206">
        <w:t>customers</w:t>
      </w:r>
      <w:r w:rsidRPr="00BD2206">
        <w:t xml:space="preserve"> and comply with the statutory financial tests and terms of this Financing Order.  As part of this submission, </w:t>
      </w:r>
      <w:r w:rsidR="00DA6854" w:rsidRPr="00BD2206">
        <w:t>AEP Texas</w:t>
      </w:r>
      <w:r w:rsidRPr="00BD2206">
        <w:t xml:space="preserve"> must also certify to the Commission that the structure and pricing of the </w:t>
      </w:r>
      <w:r w:rsidR="00856D6A" w:rsidRPr="00BD2206">
        <w:t xml:space="preserve">system restoration </w:t>
      </w:r>
      <w:r w:rsidRPr="00BD2206">
        <w:t xml:space="preserve">bonds results in the lowest </w:t>
      </w:r>
      <w:r w:rsidR="00856D6A" w:rsidRPr="00BD2206">
        <w:t xml:space="preserve">system restoration </w:t>
      </w:r>
      <w:r w:rsidRPr="00BD2206">
        <w:t xml:space="preserve">bond charges consistent with market conditions at the time of pricing and the terms of this Financing Order.  The form of certification that must be submitted by </w:t>
      </w:r>
      <w:r w:rsidR="00DA6854" w:rsidRPr="00BD2206">
        <w:t>AEP Texas</w:t>
      </w:r>
      <w:r w:rsidRPr="00BD2206">
        <w:t xml:space="preserve"> is set out in Appendix A to this Financing Order.  The Commission, by order, may stop the issuance of the </w:t>
      </w:r>
      <w:r w:rsidR="00856D6A" w:rsidRPr="00BD2206">
        <w:t xml:space="preserve">system restoration </w:t>
      </w:r>
      <w:r w:rsidRPr="00BD2206">
        <w:t xml:space="preserve">bonds authorized by this Financing Order if </w:t>
      </w:r>
      <w:r w:rsidR="00DA6854" w:rsidRPr="00BD2206">
        <w:t>AEP Texas</w:t>
      </w:r>
      <w:r w:rsidRPr="00BD2206">
        <w:t xml:space="preserve"> fails to make this demonstration or certification.</w:t>
      </w:r>
      <w:bookmarkEnd w:id="171"/>
      <w:bookmarkEnd w:id="172"/>
      <w:bookmarkEnd w:id="173"/>
      <w:bookmarkEnd w:id="174"/>
      <w:bookmarkEnd w:id="175"/>
      <w:r w:rsidRPr="00BD2206">
        <w:t xml:space="preserve">  Should </w:t>
      </w:r>
      <w:r w:rsidR="00DA6854" w:rsidRPr="00BD2206">
        <w:t>AEP Texas</w:t>
      </w:r>
      <w:r w:rsidRPr="00BD2206">
        <w:t xml:space="preserve"> issue more than one series of </w:t>
      </w:r>
      <w:r w:rsidR="004E45A5" w:rsidRPr="00BD2206">
        <w:t xml:space="preserve">system restoration </w:t>
      </w:r>
      <w:r w:rsidRPr="00BD2206">
        <w:t xml:space="preserve">bonds, </w:t>
      </w:r>
      <w:r w:rsidR="00DA6854" w:rsidRPr="00BD2206">
        <w:t>AEP Texas</w:t>
      </w:r>
      <w:r w:rsidRPr="00BD2206">
        <w:t xml:space="preserve"> shall demonstrate in the issuance advice letter for each series that the securitization will provide real economic benefits to retail </w:t>
      </w:r>
      <w:r w:rsidR="00824E79" w:rsidRPr="00BD2206">
        <w:t>customers</w:t>
      </w:r>
      <w:r w:rsidRPr="00BD2206">
        <w:t xml:space="preserve"> and comply with the statutory financial tests and terms of this Financing Order.</w:t>
      </w:r>
    </w:p>
    <w:p w14:paraId="1BA09DD0" w14:textId="0E422D38" w:rsidR="003631D6" w:rsidRPr="00BD2206" w:rsidRDefault="003631D6" w:rsidP="003631D6">
      <w:pPr>
        <w:pStyle w:val="BodyText"/>
      </w:pPr>
      <w:bookmarkStart w:id="176" w:name="_Toc83701846"/>
      <w:bookmarkStart w:id="177" w:name="_Toc83702516"/>
      <w:bookmarkStart w:id="178" w:name="_Toc83702961"/>
      <w:bookmarkStart w:id="179" w:name="_Toc83703695"/>
      <w:bookmarkStart w:id="180" w:name="_Toc88378121"/>
      <w:r w:rsidRPr="00BD2206">
        <w:t xml:space="preserve">PURA requires that </w:t>
      </w:r>
      <w:r w:rsidR="004E45A5" w:rsidRPr="00BD2206">
        <w:t>system restoration</w:t>
      </w:r>
      <w:r w:rsidRPr="00BD2206">
        <w:t xml:space="preserve"> charges be charged for the use or availability of electric services to recover all qualified costs.</w:t>
      </w:r>
      <w:r w:rsidRPr="00BD2206">
        <w:rPr>
          <w:rStyle w:val="FootnoteReference"/>
        </w:rPr>
        <w:footnoteReference w:id="32"/>
      </w:r>
      <w:r w:rsidRPr="00BD2206">
        <w:t xml:space="preserve">  </w:t>
      </w:r>
      <w:r w:rsidR="004E45A5" w:rsidRPr="00BD2206">
        <w:t xml:space="preserve">System restoration </w:t>
      </w:r>
      <w:r w:rsidRPr="00BD2206">
        <w:t>charges</w:t>
      </w:r>
      <w:r w:rsidR="00907893" w:rsidRPr="00BD2206">
        <w:t>, like all transition charges,</w:t>
      </w:r>
      <w:r w:rsidRPr="00BD2206">
        <w:t xml:space="preserve"> can be recovered over a period that does not exceed 15 years.</w:t>
      </w:r>
      <w:r w:rsidRPr="00BD2206">
        <w:rPr>
          <w:rStyle w:val="FootnoteReference"/>
        </w:rPr>
        <w:footnoteReference w:id="33"/>
      </w:r>
      <w:r w:rsidRPr="00BD2206">
        <w:t xml:space="preserve">  The Commission concludes that this prevents the collection of </w:t>
      </w:r>
      <w:r w:rsidR="00DC07C1" w:rsidRPr="00BD2206">
        <w:t xml:space="preserve">system restoration </w:t>
      </w:r>
      <w:r w:rsidRPr="00BD2206">
        <w:t xml:space="preserve">charges from retail </w:t>
      </w:r>
      <w:r w:rsidR="00824E79" w:rsidRPr="00BD2206">
        <w:t>customers</w:t>
      </w:r>
      <w:r w:rsidRPr="00BD2206">
        <w:t xml:space="preserve"> for services rendered after the 15-year period but does not prohibit recovery of </w:t>
      </w:r>
      <w:r w:rsidR="009761B6" w:rsidRPr="00BD2206">
        <w:t xml:space="preserve">system restoration </w:t>
      </w:r>
      <w:r w:rsidRPr="00BD2206">
        <w:t>charges for service rendered during the 15-year period but not actually collected until after the 15-year period.</w:t>
      </w:r>
      <w:bookmarkEnd w:id="176"/>
      <w:bookmarkEnd w:id="177"/>
      <w:bookmarkEnd w:id="178"/>
      <w:bookmarkEnd w:id="179"/>
      <w:bookmarkEnd w:id="180"/>
    </w:p>
    <w:p w14:paraId="20A89731" w14:textId="1311D9DF" w:rsidR="00907893" w:rsidRPr="00BD2206" w:rsidRDefault="00DC07C1" w:rsidP="003631D6">
      <w:pPr>
        <w:pStyle w:val="BodyText"/>
        <w:rPr>
          <w:color w:val="000000" w:themeColor="text1"/>
          <w:u w:color="0000FF"/>
        </w:rPr>
      </w:pPr>
      <w:bookmarkStart w:id="181" w:name="_Toc83701847"/>
      <w:bookmarkStart w:id="182" w:name="_Toc83702517"/>
      <w:bookmarkStart w:id="183" w:name="_Toc83702962"/>
      <w:bookmarkStart w:id="184" w:name="_Toc83703696"/>
      <w:bookmarkStart w:id="185" w:name="_Toc88378122"/>
      <w:r w:rsidRPr="00BD2206">
        <w:rPr>
          <w:color w:val="000000" w:themeColor="text1"/>
        </w:rPr>
        <w:t xml:space="preserve">System restoration </w:t>
      </w:r>
      <w:r w:rsidR="003631D6" w:rsidRPr="00BD2206">
        <w:rPr>
          <w:color w:val="000000" w:themeColor="text1"/>
        </w:rPr>
        <w:t xml:space="preserve">charges </w:t>
      </w:r>
      <w:bookmarkStart w:id="186" w:name="_cp_text_1_288"/>
      <w:r w:rsidR="00907893" w:rsidRPr="00BD2206">
        <w:rPr>
          <w:color w:val="000000" w:themeColor="text1"/>
          <w:u w:color="0000FF"/>
        </w:rPr>
        <w:t>constitute transition charges as defined in Section 39.302 and used in Chapter 39, Subchapter G,</w:t>
      </w:r>
      <w:bookmarkStart w:id="187" w:name="_cp_text_28_289"/>
      <w:bookmarkEnd w:id="186"/>
      <w:r w:rsidR="00907893" w:rsidRPr="00BD2206">
        <w:rPr>
          <w:rStyle w:val="FootnoteReference"/>
          <w:color w:val="000000" w:themeColor="text1"/>
          <w:u w:color="0000FF"/>
        </w:rPr>
        <w:footnoteReference w:id="34"/>
      </w:r>
      <w:r w:rsidR="00907893" w:rsidRPr="00BD2206">
        <w:rPr>
          <w:color w:val="000000" w:themeColor="text1"/>
        </w:rPr>
        <w:t xml:space="preserve"> </w:t>
      </w:r>
      <w:bookmarkStart w:id="189" w:name="_cp_text_1_291"/>
      <w:bookmarkEnd w:id="187"/>
      <w:r w:rsidR="00907893" w:rsidRPr="00BD2206">
        <w:rPr>
          <w:color w:val="000000" w:themeColor="text1"/>
          <w:u w:color="0000FF"/>
        </w:rPr>
        <w:t>and</w:t>
      </w:r>
      <w:bookmarkEnd w:id="189"/>
      <w:r w:rsidR="00907893" w:rsidRPr="00BD2206">
        <w:rPr>
          <w:color w:val="000000" w:themeColor="text1"/>
        </w:rPr>
        <w:t xml:space="preserve"> </w:t>
      </w:r>
      <w:r w:rsidR="003631D6" w:rsidRPr="00BD2206">
        <w:rPr>
          <w:color w:val="000000" w:themeColor="text1"/>
        </w:rPr>
        <w:t>will be collected by an electric utility, its successors, an assignee, or other collection agents as provided for in this Financing Order.</w:t>
      </w:r>
      <w:r w:rsidR="003631D6" w:rsidRPr="00BD2206">
        <w:rPr>
          <w:rStyle w:val="FootnoteReference"/>
          <w:color w:val="000000" w:themeColor="text1"/>
        </w:rPr>
        <w:footnoteReference w:id="35"/>
      </w:r>
      <w:r w:rsidR="003631D6" w:rsidRPr="00BD2206">
        <w:rPr>
          <w:color w:val="000000" w:themeColor="text1"/>
        </w:rPr>
        <w:t xml:space="preserve">  </w:t>
      </w:r>
      <w:bookmarkStart w:id="190" w:name="_cp_text_4_296"/>
      <w:r w:rsidR="00907893" w:rsidRPr="00BD2206">
        <w:rPr>
          <w:color w:val="000000" w:themeColor="text1"/>
          <w:u w:color="008000"/>
        </w:rPr>
        <w:t xml:space="preserve">System restoration </w:t>
      </w:r>
      <w:bookmarkStart w:id="191" w:name="_cp_text_1_297"/>
      <w:bookmarkEnd w:id="190"/>
      <w:r w:rsidR="00907893" w:rsidRPr="00BD2206">
        <w:rPr>
          <w:color w:val="000000" w:themeColor="text1"/>
          <w:u w:color="0000FF"/>
        </w:rPr>
        <w:t>charges shall be functionalized and allocated to customers in the same manner as the corresponding facilities relating to the system restoration costs and related expenses are functionalized and allocated in a utility’s current base rates (</w:t>
      </w:r>
      <w:r w:rsidR="00907893" w:rsidRPr="00BD2206">
        <w:rPr>
          <w:i/>
          <w:color w:val="000000" w:themeColor="text1"/>
          <w:u w:color="0000FF"/>
        </w:rPr>
        <w:t>i.e</w:t>
      </w:r>
      <w:r w:rsidR="00907893" w:rsidRPr="00BD2206">
        <w:rPr>
          <w:color w:val="000000" w:themeColor="text1"/>
          <w:u w:color="0000FF"/>
        </w:rPr>
        <w:t>., the same allocation as is set forth in existing Commission orders regarding AEP Texas’ Central Division).</w:t>
      </w:r>
      <w:bookmarkStart w:id="192" w:name="_cp_text_28_298"/>
      <w:bookmarkEnd w:id="191"/>
      <w:r w:rsidR="00907893" w:rsidRPr="00BD2206">
        <w:rPr>
          <w:rStyle w:val="FootnoteReference"/>
          <w:color w:val="000000" w:themeColor="text1"/>
          <w:u w:color="0000FF"/>
        </w:rPr>
        <w:footnoteReference w:id="36"/>
      </w:r>
      <w:r w:rsidR="00907893" w:rsidRPr="00BD2206">
        <w:rPr>
          <w:color w:val="000000" w:themeColor="text1"/>
        </w:rPr>
        <w:t xml:space="preserve">  </w:t>
      </w:r>
      <w:bookmarkStart w:id="194" w:name="_cp_text_4_300"/>
      <w:bookmarkEnd w:id="192"/>
      <w:r w:rsidR="00907893" w:rsidRPr="00BD2206">
        <w:rPr>
          <w:color w:val="000000" w:themeColor="text1"/>
          <w:u w:color="008000"/>
        </w:rPr>
        <w:t>The Commission further determines that</w:t>
      </w:r>
      <w:bookmarkStart w:id="195" w:name="_cp_text_1_301"/>
      <w:bookmarkEnd w:id="194"/>
      <w:r w:rsidR="00907893" w:rsidRPr="00BD2206">
        <w:rPr>
          <w:color w:val="000000" w:themeColor="text1"/>
          <w:u w:color="0000FF"/>
        </w:rPr>
        <w:t>, in order to ensure that the allocation of system restoration charges are functionalized in such manner,</w:t>
      </w:r>
      <w:r w:rsidR="00907893" w:rsidRPr="00BD2206">
        <w:rPr>
          <w:color w:val="000000" w:themeColor="text1"/>
        </w:rPr>
        <w:t xml:space="preserve"> </w:t>
      </w:r>
      <w:bookmarkStart w:id="196" w:name="_cp_text_4_302"/>
      <w:bookmarkEnd w:id="195"/>
      <w:r w:rsidR="00907893" w:rsidRPr="00BD2206">
        <w:rPr>
          <w:color w:val="000000" w:themeColor="text1"/>
          <w:u w:color="008000"/>
        </w:rPr>
        <w:t xml:space="preserve">the ADFIT benefits associated with the securitization transaction should be calculated and </w:t>
      </w:r>
      <w:r w:rsidR="00EC7F6C" w:rsidRPr="00BD2206">
        <w:rPr>
          <w:color w:val="000000" w:themeColor="text1"/>
          <w:u w:color="008000"/>
        </w:rPr>
        <w:t xml:space="preserve">allocated </w:t>
      </w:r>
      <w:r w:rsidR="00907893" w:rsidRPr="00BD2206">
        <w:rPr>
          <w:color w:val="000000" w:themeColor="text1"/>
          <w:u w:color="008000"/>
        </w:rPr>
        <w:t xml:space="preserve">in the manner described in this Financing </w:t>
      </w:r>
      <w:bookmarkEnd w:id="196"/>
      <w:r w:rsidR="00907893" w:rsidRPr="00BD2206">
        <w:rPr>
          <w:color w:val="000000" w:themeColor="text1"/>
          <w:u w:color="0000FF"/>
        </w:rPr>
        <w:t>Order.</w:t>
      </w:r>
    </w:p>
    <w:p w14:paraId="7BD2F9A5" w14:textId="6815A004" w:rsidR="003631D6" w:rsidRPr="00BD2206" w:rsidRDefault="003631D6" w:rsidP="003631D6">
      <w:pPr>
        <w:pStyle w:val="BodyText"/>
      </w:pPr>
      <w:r w:rsidRPr="00BD2206">
        <w:t xml:space="preserve">The rights to impose, collect, and receive </w:t>
      </w:r>
      <w:r w:rsidR="00DC07C1" w:rsidRPr="00BD2206">
        <w:t xml:space="preserve">system restoration </w:t>
      </w:r>
      <w:r w:rsidRPr="00BD2206">
        <w:t xml:space="preserve">charges (including all other rights of an electric utility under the financing order) are only contract rights until such rights (which may relate to the entire amount authorized to be securitized or, if more than one series of </w:t>
      </w:r>
      <w:r w:rsidR="00495BAC" w:rsidRPr="00BD2206">
        <w:t xml:space="preserve">system restoration </w:t>
      </w:r>
      <w:r w:rsidRPr="00BD2206">
        <w:t xml:space="preserve">bonds are issued due to market conditions, to a portion of the total amount authorized to be securitized) are first transferred to an assignee or pledged in connection with the issuance of </w:t>
      </w:r>
      <w:r w:rsidR="00DC07C1" w:rsidRPr="00BD2206">
        <w:t xml:space="preserve">system restoration </w:t>
      </w:r>
      <w:r w:rsidRPr="00BD2206">
        <w:t>bonds.</w:t>
      </w:r>
      <w:r w:rsidR="000734D4" w:rsidRPr="00BD2206">
        <w:rPr>
          <w:rStyle w:val="FootnoteReference"/>
        </w:rPr>
        <w:footnoteReference w:id="37"/>
      </w:r>
      <w:r w:rsidRPr="00BD2206">
        <w:t xml:space="preserve">  Upon the transfer or pledge of those rights, they become transition property and, as such, are afforded certain statutory protections to ensure that the charges are available for bond retirement.</w:t>
      </w:r>
      <w:r w:rsidRPr="00BD2206">
        <w:rPr>
          <w:rStyle w:val="FootnoteReference"/>
        </w:rPr>
        <w:footnoteReference w:id="38"/>
      </w:r>
      <w:bookmarkEnd w:id="181"/>
      <w:bookmarkEnd w:id="182"/>
      <w:bookmarkEnd w:id="183"/>
      <w:bookmarkEnd w:id="184"/>
      <w:bookmarkEnd w:id="185"/>
    </w:p>
    <w:p w14:paraId="67C031EA" w14:textId="6D8981B6" w:rsidR="003631D6" w:rsidRPr="00BD2206" w:rsidRDefault="003631D6" w:rsidP="003631D6">
      <w:pPr>
        <w:pStyle w:val="BodyText"/>
      </w:pPr>
      <w:bookmarkStart w:id="197" w:name="_Toc83701848"/>
      <w:bookmarkStart w:id="198" w:name="_Toc83702518"/>
      <w:bookmarkStart w:id="199" w:name="_Toc83702963"/>
      <w:bookmarkStart w:id="200" w:name="_Toc83703697"/>
      <w:bookmarkStart w:id="201" w:name="_Toc88378123"/>
      <w:r w:rsidRPr="00BD2206">
        <w:t xml:space="preserve">This Financing Order contains terms, as it must, ensuring that the imposition and collection of </w:t>
      </w:r>
      <w:r w:rsidR="00495BAC" w:rsidRPr="00BD2206">
        <w:t xml:space="preserve">system restoration </w:t>
      </w:r>
      <w:r w:rsidRPr="00BD2206">
        <w:t xml:space="preserve">charges authorized herein shall be </w:t>
      </w:r>
      <w:proofErr w:type="spellStart"/>
      <w:r w:rsidRPr="00BD2206">
        <w:t>nonbypassable</w:t>
      </w:r>
      <w:proofErr w:type="spellEnd"/>
      <w:r w:rsidRPr="00BD2206">
        <w:t>.</w:t>
      </w:r>
      <w:r w:rsidRPr="00BD2206">
        <w:rPr>
          <w:rStyle w:val="FootnoteReference"/>
        </w:rPr>
        <w:footnoteReference w:id="39"/>
      </w:r>
      <w:r w:rsidRPr="00BD2206">
        <w:t xml:space="preserve">  It also includes a mechanism requiring that </w:t>
      </w:r>
      <w:r w:rsidR="00495BAC" w:rsidRPr="00BD2206">
        <w:t xml:space="preserve">system restoration </w:t>
      </w:r>
      <w:r w:rsidRPr="00BD2206">
        <w:t xml:space="preserve">charges be reviewed and adjusted at least annually, within 45 days of the anniversary date of the issuance of the </w:t>
      </w:r>
      <w:r w:rsidR="00495BAC" w:rsidRPr="00BD2206">
        <w:t xml:space="preserve">system restoration </w:t>
      </w:r>
      <w:r w:rsidRPr="00BD2206">
        <w:t xml:space="preserve">bonds, to correct any </w:t>
      </w:r>
      <w:proofErr w:type="spellStart"/>
      <w:r w:rsidRPr="00BD2206">
        <w:t>overcollections</w:t>
      </w:r>
      <w:proofErr w:type="spellEnd"/>
      <w:r w:rsidRPr="00BD2206">
        <w:t xml:space="preserve"> or </w:t>
      </w:r>
      <w:proofErr w:type="spellStart"/>
      <w:r w:rsidRPr="00BD2206">
        <w:t>undercollections</w:t>
      </w:r>
      <w:proofErr w:type="spellEnd"/>
      <w:r w:rsidRPr="00BD2206">
        <w:t xml:space="preserve"> during the preceding 12 months and to ensure the expected recovery of amounts sufficient to timely provide all payments of debt service and other required amounts and charges in connection with the </w:t>
      </w:r>
      <w:r w:rsidR="00495BAC" w:rsidRPr="00BD2206">
        <w:t xml:space="preserve">system restoration </w:t>
      </w:r>
      <w:r w:rsidRPr="00BD2206">
        <w:t>bonds.</w:t>
      </w:r>
      <w:r w:rsidRPr="00BD2206">
        <w:rPr>
          <w:rStyle w:val="FootnoteReference"/>
        </w:rPr>
        <w:footnoteReference w:id="40"/>
      </w:r>
      <w:r w:rsidRPr="00BD2206">
        <w:t xml:space="preserve">  In addition to the required annual reviews, interim reviews are mandatory semi-annually (or quarterly after the </w:t>
      </w:r>
      <w:r w:rsidR="00B86FEE" w:rsidRPr="00BD2206">
        <w:t xml:space="preserve">final </w:t>
      </w:r>
      <w:r w:rsidRPr="00BD2206">
        <w:t xml:space="preserve">scheduled </w:t>
      </w:r>
      <w:r w:rsidR="00B86FEE" w:rsidRPr="00BD2206">
        <w:t xml:space="preserve">payment </w:t>
      </w:r>
      <w:r w:rsidRPr="00BD2206">
        <w:t xml:space="preserve">date </w:t>
      </w:r>
      <w:r w:rsidR="00B86FEE" w:rsidRPr="00BD2206">
        <w:t xml:space="preserve">of the last tranche </w:t>
      </w:r>
      <w:r w:rsidRPr="00BD2206">
        <w:t xml:space="preserve">of the </w:t>
      </w:r>
      <w:r w:rsidR="00495BAC" w:rsidRPr="00BD2206">
        <w:t xml:space="preserve">system restoration </w:t>
      </w:r>
      <w:r w:rsidRPr="00BD2206">
        <w:t xml:space="preserve">bonds) to ensure that the amount of the </w:t>
      </w:r>
      <w:r w:rsidR="00495BAC" w:rsidRPr="00BD2206">
        <w:t xml:space="preserve">system restoration </w:t>
      </w:r>
      <w:r w:rsidRPr="00BD2206">
        <w:t xml:space="preserve">charges matches the funding requirements approved in this Financing Order.  Optional interim true-up adjustments may also be made under the circumstances set forth in this Financing Order.  These provisions will help to ensure that the amount of </w:t>
      </w:r>
      <w:r w:rsidR="00495BAC" w:rsidRPr="00BD2206">
        <w:t xml:space="preserve">system restoration </w:t>
      </w:r>
      <w:r w:rsidRPr="00BD2206">
        <w:t xml:space="preserve">charges paid by retail </w:t>
      </w:r>
      <w:r w:rsidR="00824E79" w:rsidRPr="00BD2206">
        <w:t>customers</w:t>
      </w:r>
      <w:r w:rsidRPr="00BD2206">
        <w:t xml:space="preserve"> does not exceed the amounts necessary to cover the costs of this securitization.  To encourage utilities to undertake securitization financing, other benefits and assurances are provided.</w:t>
      </w:r>
      <w:bookmarkEnd w:id="197"/>
      <w:bookmarkEnd w:id="198"/>
      <w:bookmarkEnd w:id="199"/>
      <w:bookmarkEnd w:id="200"/>
      <w:bookmarkEnd w:id="201"/>
    </w:p>
    <w:p w14:paraId="5347CB54" w14:textId="77777777" w:rsidR="003631D6" w:rsidRPr="00BD2206" w:rsidRDefault="003631D6" w:rsidP="003631D6">
      <w:pPr>
        <w:pStyle w:val="BodyText"/>
      </w:pPr>
      <w:bookmarkStart w:id="202" w:name="_Toc83702519"/>
      <w:bookmarkStart w:id="203" w:name="_Toc83702964"/>
      <w:bookmarkStart w:id="204" w:name="_Toc83703698"/>
      <w:bookmarkStart w:id="205" w:name="_Toc88378124"/>
      <w:r w:rsidRPr="00BD2206">
        <w:t xml:space="preserve">The State of Texas has pledged, for the benefit and protection of financing parties and electric utilities, that it will not take or permit any action that would impair the value of transition property, or, except for the true-up expressly allowed by law, reduce, alter, or impair the </w:t>
      </w:r>
      <w:r w:rsidR="00DB06A7" w:rsidRPr="00BD2206">
        <w:t xml:space="preserve">system restoration </w:t>
      </w:r>
      <w:r w:rsidRPr="00BD2206">
        <w:t xml:space="preserve">charges to be imposed, collected and remitted to financing parties, until the principal, interest and premium, and any other charges incurred and contracts to be performed in connection with the related </w:t>
      </w:r>
      <w:r w:rsidR="00DB06A7" w:rsidRPr="00BD2206">
        <w:t xml:space="preserve">system restoration </w:t>
      </w:r>
      <w:r w:rsidRPr="00BD2206">
        <w:t>bonds have been paid and performed in full.</w:t>
      </w:r>
      <w:r w:rsidRPr="00BD2206">
        <w:rPr>
          <w:rStyle w:val="FootnoteReference"/>
        </w:rPr>
        <w:footnoteReference w:id="41"/>
      </w:r>
      <w:bookmarkEnd w:id="202"/>
      <w:bookmarkEnd w:id="203"/>
      <w:bookmarkEnd w:id="204"/>
      <w:bookmarkEnd w:id="205"/>
    </w:p>
    <w:p w14:paraId="04502FE2" w14:textId="77777777" w:rsidR="003631D6" w:rsidRPr="00BD2206" w:rsidRDefault="003631D6" w:rsidP="003631D6">
      <w:pPr>
        <w:pStyle w:val="BodyText"/>
      </w:pPr>
      <w:bookmarkStart w:id="206" w:name="_Toc83701850"/>
      <w:bookmarkStart w:id="207" w:name="_Toc83702520"/>
      <w:bookmarkStart w:id="208" w:name="_Toc83702965"/>
      <w:bookmarkStart w:id="209" w:name="_Toc83703699"/>
      <w:bookmarkStart w:id="210" w:name="_Toc88378125"/>
      <w:r w:rsidRPr="00BD2206">
        <w:t>Transition property (whether associated with a single bond series covering the entire amount authorized to be securitized or with one of multiple bond series covering only a portion of the total amount authorized to be securitized) constitutes a present property right for purposes of contracts concerning the sale or pledge of property, and the property will continue to exist for the duration of the pledge of the State of Texas as described in the preceding paragraph.</w:t>
      </w:r>
      <w:r w:rsidRPr="00BD2206">
        <w:rPr>
          <w:rStyle w:val="FootnoteReference"/>
        </w:rPr>
        <w:footnoteReference w:id="42"/>
      </w:r>
      <w:r w:rsidRPr="00BD2206">
        <w:t xml:space="preserve">  In addition, the interests of an assignee or pledgee in transition property (as well as the revenues and collections arising from the property) are not subject to setoff, counterclaim, surcharge, or defense by the electric utility or any other person or in connection with the bankruptcy of the electric utility or any other entity.</w:t>
      </w:r>
      <w:r w:rsidRPr="00BD2206">
        <w:rPr>
          <w:rStyle w:val="FootnoteReference"/>
        </w:rPr>
        <w:footnoteReference w:id="43"/>
      </w:r>
      <w:r w:rsidRPr="00BD2206">
        <w:t xml:space="preserve">  Further, transactions involving the transfer and ownership of transition property and the receipt of </w:t>
      </w:r>
      <w:r w:rsidR="00DB06A7" w:rsidRPr="00BD2206">
        <w:t xml:space="preserve">system restoration </w:t>
      </w:r>
      <w:r w:rsidRPr="00BD2206">
        <w:t>charges are exempt from state and local income, sales, franchise, gross receipts, and other taxes or similar charges.</w:t>
      </w:r>
      <w:r w:rsidRPr="00BD2206">
        <w:rPr>
          <w:rStyle w:val="FootnoteReference"/>
        </w:rPr>
        <w:footnoteReference w:id="44"/>
      </w:r>
      <w:r w:rsidRPr="00BD2206">
        <w:t xml:space="preserve">  The creation, granting, perfection, and enforcement of liens and security interests in transition property are governed by PURA § 39.309 and not by the Texas Business and Commerce Code.</w:t>
      </w:r>
      <w:r w:rsidRPr="00BD2206">
        <w:rPr>
          <w:rStyle w:val="FootnoteReference"/>
        </w:rPr>
        <w:footnoteReference w:id="45"/>
      </w:r>
      <w:bookmarkEnd w:id="206"/>
      <w:bookmarkEnd w:id="207"/>
      <w:bookmarkEnd w:id="208"/>
      <w:bookmarkEnd w:id="209"/>
      <w:bookmarkEnd w:id="210"/>
    </w:p>
    <w:p w14:paraId="1349A6D4" w14:textId="77777777" w:rsidR="003631D6" w:rsidRPr="00BD2206" w:rsidRDefault="003631D6" w:rsidP="003631D6">
      <w:pPr>
        <w:pStyle w:val="BodyText"/>
        <w:rPr>
          <w:b/>
        </w:rPr>
      </w:pPr>
      <w:bookmarkStart w:id="211" w:name="_Toc83701851"/>
      <w:bookmarkStart w:id="212" w:name="_Toc83702521"/>
      <w:bookmarkStart w:id="213" w:name="_Toc83702966"/>
      <w:bookmarkStart w:id="214" w:name="_Toc83703700"/>
      <w:bookmarkStart w:id="215" w:name="_Toc88378126"/>
      <w:r w:rsidRPr="00BD2206">
        <w:t xml:space="preserve">The Commission may, at the request of an electric utility, adopt a financing order providing for the retiring and refunding of </w:t>
      </w:r>
      <w:r w:rsidR="00DB06A7" w:rsidRPr="00BD2206">
        <w:t xml:space="preserve">system restoration </w:t>
      </w:r>
      <w:r w:rsidRPr="00BD2206">
        <w:t xml:space="preserve">bonds only upon making a finding that the future </w:t>
      </w:r>
      <w:r w:rsidR="00DB06A7" w:rsidRPr="00BD2206">
        <w:t xml:space="preserve">system restoration </w:t>
      </w:r>
      <w:r w:rsidRPr="00BD2206">
        <w:t xml:space="preserve">charges required to service the new </w:t>
      </w:r>
      <w:r w:rsidR="00DB06A7" w:rsidRPr="00BD2206">
        <w:t xml:space="preserve">system restoration </w:t>
      </w:r>
      <w:r w:rsidRPr="00BD2206">
        <w:t xml:space="preserve">bonds, including transaction costs, will be less than the future </w:t>
      </w:r>
      <w:r w:rsidR="00DB06A7" w:rsidRPr="00BD2206">
        <w:t xml:space="preserve">system restoration </w:t>
      </w:r>
      <w:r w:rsidRPr="00BD2206">
        <w:t>charges required to service the bonds being retired or refunded.</w:t>
      </w:r>
      <w:r w:rsidRPr="00BD2206">
        <w:rPr>
          <w:rStyle w:val="FootnoteReference"/>
        </w:rPr>
        <w:footnoteReference w:id="46"/>
      </w:r>
      <w:r w:rsidRPr="00BD2206">
        <w:t xml:space="preserve">  </w:t>
      </w:r>
      <w:r w:rsidR="00DA6854" w:rsidRPr="00BD2206">
        <w:t>AEP Texas</w:t>
      </w:r>
      <w:r w:rsidRPr="00BD2206">
        <w:t xml:space="preserve"> has not requested and this Financing Order does not grant any authority to refinance the </w:t>
      </w:r>
      <w:r w:rsidR="00DB06A7" w:rsidRPr="00BD2206">
        <w:t xml:space="preserve">system restoration </w:t>
      </w:r>
      <w:r w:rsidRPr="00BD2206">
        <w:t xml:space="preserve">bonds authorized by this Financing Order.  This Financing Order does not preclude </w:t>
      </w:r>
      <w:r w:rsidR="00DA6854" w:rsidRPr="00BD2206">
        <w:t>AEP Texas</w:t>
      </w:r>
      <w:r w:rsidRPr="00BD2206">
        <w:t xml:space="preserve"> from filing a request for a financing order to retire or refund the </w:t>
      </w:r>
      <w:r w:rsidR="00DB06A7" w:rsidRPr="00BD2206">
        <w:t xml:space="preserve">system restoration </w:t>
      </w:r>
      <w:r w:rsidRPr="00BD2206">
        <w:t>bonds approved in this Financing Order upon a showing that the statutory criteria in PURA § 39.303(g) are met.</w:t>
      </w:r>
      <w:r w:rsidRPr="00BD2206">
        <w:rPr>
          <w:rStyle w:val="FootnoteReference"/>
        </w:rPr>
        <w:footnoteReference w:id="47"/>
      </w:r>
      <w:bookmarkEnd w:id="211"/>
      <w:bookmarkEnd w:id="212"/>
      <w:bookmarkEnd w:id="213"/>
      <w:bookmarkEnd w:id="214"/>
      <w:bookmarkEnd w:id="215"/>
    </w:p>
    <w:p w14:paraId="0B91CF90" w14:textId="77777777" w:rsidR="003631D6" w:rsidRPr="00BD2206" w:rsidRDefault="003631D6" w:rsidP="003631D6">
      <w:pPr>
        <w:pStyle w:val="BodyText"/>
      </w:pPr>
      <w:bookmarkStart w:id="216" w:name="_Toc83701852"/>
      <w:bookmarkStart w:id="217" w:name="_Toc83702522"/>
      <w:bookmarkStart w:id="218" w:name="_Toc83702967"/>
      <w:bookmarkStart w:id="219" w:name="_Toc83703701"/>
      <w:bookmarkStart w:id="220" w:name="_Toc88378127"/>
      <w:r w:rsidRPr="00BD2206">
        <w:t xml:space="preserve">To facilitate compliance and consistency with applicable statutory provisions, this Financing Order adopts the definitions in PURA </w:t>
      </w:r>
      <w:r w:rsidR="00DB06A7" w:rsidRPr="00BD2206">
        <w:t xml:space="preserve">§§ 36.403 and </w:t>
      </w:r>
      <w:r w:rsidRPr="00BD2206">
        <w:t>39.302.</w:t>
      </w:r>
      <w:bookmarkEnd w:id="216"/>
      <w:bookmarkEnd w:id="217"/>
      <w:bookmarkEnd w:id="218"/>
      <w:bookmarkEnd w:id="219"/>
      <w:bookmarkEnd w:id="220"/>
    </w:p>
    <w:p w14:paraId="73D471CB" w14:textId="77777777" w:rsidR="003631D6" w:rsidRPr="00BD2206" w:rsidRDefault="00B42FAC" w:rsidP="003F7243">
      <w:pPr>
        <w:pStyle w:val="Heading1"/>
      </w:pPr>
      <w:bookmarkStart w:id="221" w:name="_Toc97535649"/>
      <w:bookmarkStart w:id="222" w:name="_Toc177539433"/>
      <w:bookmarkStart w:id="223" w:name="_Toc88378128"/>
      <w:bookmarkStart w:id="224" w:name="_Toc88379100"/>
      <w:bookmarkStart w:id="225" w:name="_Toc88379322"/>
      <w:bookmarkStart w:id="226" w:name="_Toc88379542"/>
      <w:bookmarkStart w:id="227" w:name="_Toc88379760"/>
      <w:bookmarkStart w:id="228" w:name="_Toc88379948"/>
      <w:bookmarkStart w:id="229" w:name="_Toc88380131"/>
      <w:bookmarkStart w:id="230" w:name="_Toc88380261"/>
      <w:bookmarkStart w:id="231" w:name="_Toc88380418"/>
      <w:bookmarkStart w:id="232" w:name="_Toc88380510"/>
      <w:bookmarkStart w:id="233" w:name="_Toc88380602"/>
      <w:r w:rsidRPr="00BD2206">
        <w:t xml:space="preserve">  </w:t>
      </w:r>
      <w:bookmarkStart w:id="234" w:name="_Toc2778485"/>
      <w:r w:rsidR="00F56DCC" w:rsidRPr="00BD2206">
        <w:t>Description of Proposed Transaction</w:t>
      </w:r>
      <w:bookmarkEnd w:id="221"/>
      <w:bookmarkEnd w:id="222"/>
      <w:bookmarkEnd w:id="234"/>
    </w:p>
    <w:p w14:paraId="381E7893" w14:textId="7E6318D8" w:rsidR="003631D6" w:rsidRPr="00BD2206" w:rsidRDefault="003631D6" w:rsidP="003F7243">
      <w:pPr>
        <w:pStyle w:val="BodyText"/>
      </w:pPr>
      <w:bookmarkStart w:id="235" w:name="_Toc83701853"/>
      <w:bookmarkStart w:id="236" w:name="_Toc83702523"/>
      <w:bookmarkStart w:id="237" w:name="_Toc83702968"/>
      <w:bookmarkStart w:id="238" w:name="_Toc83703702"/>
      <w:bookmarkStart w:id="239" w:name="_Toc89613516"/>
      <w:r w:rsidRPr="00BD2206">
        <w:t xml:space="preserve">A description of the transaction proposed by </w:t>
      </w:r>
      <w:r w:rsidR="00DA6854" w:rsidRPr="00BD2206">
        <w:t>AEP Texas</w:t>
      </w:r>
      <w:r w:rsidRPr="00BD2206">
        <w:t xml:space="preserve"> is contained in its application and the evidence submitted in support of the application.  A brief summary of the proposed transaction is provided in this section.  A more detailed description is included in Section III.</w:t>
      </w:r>
      <w:r w:rsidR="00160493">
        <w:t xml:space="preserve"> </w:t>
      </w:r>
      <w:r w:rsidRPr="00BD2206">
        <w:t>C, titled “Structure of the Proposed Securitization” and in the application and evidence submitted in support of the application.</w:t>
      </w:r>
      <w:bookmarkEnd w:id="235"/>
      <w:bookmarkEnd w:id="236"/>
      <w:bookmarkEnd w:id="237"/>
      <w:bookmarkEnd w:id="238"/>
      <w:bookmarkEnd w:id="239"/>
    </w:p>
    <w:p w14:paraId="040474C0" w14:textId="59C18BA6" w:rsidR="003631D6" w:rsidRPr="00BD2206" w:rsidRDefault="003631D6" w:rsidP="003F7243">
      <w:pPr>
        <w:pStyle w:val="BodyText"/>
      </w:pPr>
      <w:bookmarkStart w:id="240" w:name="_Toc83701855"/>
      <w:bookmarkStart w:id="241" w:name="_Toc83702525"/>
      <w:bookmarkStart w:id="242" w:name="_Toc83702970"/>
      <w:bookmarkStart w:id="243" w:name="_Toc83703704"/>
      <w:bookmarkStart w:id="244" w:name="_Toc89613518"/>
      <w:r w:rsidRPr="00BD2206">
        <w:t xml:space="preserve">To facilitate the proposed securitization, </w:t>
      </w:r>
      <w:r w:rsidR="00DA6854" w:rsidRPr="00BD2206">
        <w:t>AEP Texas</w:t>
      </w:r>
      <w:r w:rsidRPr="00BD2206">
        <w:t xml:space="preserve"> </w:t>
      </w:r>
      <w:r w:rsidR="00907893" w:rsidRPr="00BD2206">
        <w:t xml:space="preserve">has </w:t>
      </w:r>
      <w:r w:rsidRPr="00BD2206">
        <w:t xml:space="preserve">proposed that (depending on whether more than one series of </w:t>
      </w:r>
      <w:r w:rsidR="00327D9C" w:rsidRPr="00BD2206">
        <w:t xml:space="preserve">system restoration </w:t>
      </w:r>
      <w:r w:rsidRPr="00BD2206">
        <w:t xml:space="preserve">bonds are issued) one or more special purpose </w:t>
      </w:r>
      <w:r w:rsidR="00907893" w:rsidRPr="00BD2206">
        <w:t>entities</w:t>
      </w:r>
      <w:r w:rsidRPr="00BD2206">
        <w:t xml:space="preserve"> (each referred to as “</w:t>
      </w:r>
      <w:proofErr w:type="spellStart"/>
      <w:r w:rsidRPr="00BD2206">
        <w:t>BondCo</w:t>
      </w:r>
      <w:proofErr w:type="spellEnd"/>
      <w:r w:rsidRPr="00BD2206">
        <w:t xml:space="preserve">”) be created to which </w:t>
      </w:r>
      <w:r w:rsidR="00907893" w:rsidRPr="00BD2206">
        <w:t xml:space="preserve">AEP Texas </w:t>
      </w:r>
      <w:r w:rsidRPr="00BD2206">
        <w:t xml:space="preserve">will transfer the rights to impose, collect, and receive </w:t>
      </w:r>
      <w:r w:rsidR="00327D9C" w:rsidRPr="00BD2206">
        <w:t xml:space="preserve">system restoration </w:t>
      </w:r>
      <w:r w:rsidRPr="00BD2206">
        <w:t xml:space="preserve">charges along with the other rights arising pursuant to this Financing Order, in each case allocable to the series of </w:t>
      </w:r>
      <w:r w:rsidR="00327D9C" w:rsidRPr="00BD2206">
        <w:t xml:space="preserve">system restoration </w:t>
      </w:r>
      <w:r w:rsidRPr="00BD2206">
        <w:t xml:space="preserve">bonds the </w:t>
      </w:r>
      <w:proofErr w:type="spellStart"/>
      <w:r w:rsidRPr="00BD2206">
        <w:t>BondCo</w:t>
      </w:r>
      <w:proofErr w:type="spellEnd"/>
      <w:r w:rsidRPr="00BD2206">
        <w:t xml:space="preserve"> is issuing.  Upon transfer to a </w:t>
      </w:r>
      <w:proofErr w:type="spellStart"/>
      <w:r w:rsidRPr="00BD2206">
        <w:t>BondCo</w:t>
      </w:r>
      <w:proofErr w:type="spellEnd"/>
      <w:r w:rsidRPr="00BD2206">
        <w:t xml:space="preserve"> (in connection with the issuance of the particular series of </w:t>
      </w:r>
      <w:r w:rsidR="00327D9C" w:rsidRPr="00BD2206">
        <w:t xml:space="preserve">system restoration </w:t>
      </w:r>
      <w:r w:rsidRPr="00BD2206">
        <w:t>bonds), these rights will become transition property as provided by PURA § 39.304.</w:t>
      </w:r>
      <w:r w:rsidR="00327D9C" w:rsidRPr="00BD2206">
        <w:rPr>
          <w:rStyle w:val="FootnoteReference"/>
        </w:rPr>
        <w:footnoteReference w:id="48"/>
      </w:r>
      <w:r w:rsidRPr="00BD2206">
        <w:t xml:space="preserve">  If </w:t>
      </w:r>
      <w:r w:rsidR="00A56180" w:rsidRPr="00BD2206">
        <w:t xml:space="preserve">system restoration </w:t>
      </w:r>
      <w:r w:rsidRPr="00BD2206">
        <w:t xml:space="preserve">bonds are issued in more than one series, then the transition property transferred as a result of each issuance shall be only those rights associated with that portion of the total amount authorized to be securitized by this Financing Order which is securitized by a particular bond issuance.  The rights to impose, collect and receive </w:t>
      </w:r>
      <w:r w:rsidR="00327D9C" w:rsidRPr="00BD2206">
        <w:t xml:space="preserve">system restoration </w:t>
      </w:r>
      <w:r w:rsidRPr="00BD2206">
        <w:t>charges</w:t>
      </w:r>
      <w:r w:rsidR="00BE7FB1" w:rsidRPr="00BD2206">
        <w:t>,</w:t>
      </w:r>
      <w:r w:rsidRPr="00BD2206">
        <w:t xml:space="preserve"> along with the other rights arising pursuant to this Financing Order as they relate to any portion of the total amount authorized to be securitized that remains </w:t>
      </w:r>
      <w:proofErr w:type="spellStart"/>
      <w:r w:rsidRPr="00BD2206">
        <w:t>unsecuritized</w:t>
      </w:r>
      <w:proofErr w:type="spellEnd"/>
      <w:r w:rsidR="00BE7FB1" w:rsidRPr="00BD2206">
        <w:t>,</w:t>
      </w:r>
      <w:r w:rsidRPr="00BD2206">
        <w:t xml:space="preserve"> shall remain with </w:t>
      </w:r>
      <w:r w:rsidR="00DA6854" w:rsidRPr="00BD2206">
        <w:t>AEP Texas</w:t>
      </w:r>
      <w:r w:rsidRPr="00BD2206">
        <w:t xml:space="preserve"> and shall not become transition property until transferred to a </w:t>
      </w:r>
      <w:proofErr w:type="spellStart"/>
      <w:r w:rsidRPr="00BD2206">
        <w:t>BondCo</w:t>
      </w:r>
      <w:proofErr w:type="spellEnd"/>
      <w:r w:rsidRPr="00BD2206">
        <w:t xml:space="preserve"> in connection with a subsequent issuance of </w:t>
      </w:r>
      <w:r w:rsidR="00327D9C" w:rsidRPr="00BD2206">
        <w:t xml:space="preserve">system restoration </w:t>
      </w:r>
      <w:r w:rsidRPr="00BD2206">
        <w:t>bonds.</w:t>
      </w:r>
    </w:p>
    <w:p w14:paraId="39FF98F5" w14:textId="77777777" w:rsidR="003631D6" w:rsidRPr="00BD2206" w:rsidRDefault="00DA6854" w:rsidP="003F7243">
      <w:pPr>
        <w:pStyle w:val="BodyText"/>
      </w:pPr>
      <w:r w:rsidRPr="00BD2206">
        <w:t>AEP Texas</w:t>
      </w:r>
      <w:r w:rsidR="003631D6" w:rsidRPr="00BD2206">
        <w:t xml:space="preserve"> will create a separate </w:t>
      </w:r>
      <w:proofErr w:type="spellStart"/>
      <w:r w:rsidR="003631D6" w:rsidRPr="00BD2206">
        <w:t>BondCo</w:t>
      </w:r>
      <w:proofErr w:type="spellEnd"/>
      <w:r w:rsidR="003631D6" w:rsidRPr="00BD2206">
        <w:t xml:space="preserve"> for the issuance of a particular series of the </w:t>
      </w:r>
      <w:r w:rsidR="00A56180" w:rsidRPr="00BD2206">
        <w:t xml:space="preserve">system restoration </w:t>
      </w:r>
      <w:r w:rsidR="003631D6" w:rsidRPr="00BD2206">
        <w:t>bonds; and the rights, obligations, structure and restrictions described in this Financing Order with respect to “</w:t>
      </w:r>
      <w:proofErr w:type="spellStart"/>
      <w:r w:rsidR="003631D6" w:rsidRPr="00BD2206">
        <w:t>BondCo</w:t>
      </w:r>
      <w:proofErr w:type="spellEnd"/>
      <w:r w:rsidR="003631D6" w:rsidRPr="00BD2206">
        <w:t xml:space="preserve">” are applicable to each such purchaser of transition property to the extent of the transition property transferred and sold to it and the </w:t>
      </w:r>
      <w:r w:rsidR="00A56180" w:rsidRPr="00BD2206">
        <w:t xml:space="preserve">system restoration </w:t>
      </w:r>
      <w:r w:rsidR="003631D6" w:rsidRPr="00BD2206">
        <w:t xml:space="preserve">bonds issued by it.  </w:t>
      </w:r>
      <w:proofErr w:type="spellStart"/>
      <w:r w:rsidR="003631D6" w:rsidRPr="00BD2206">
        <w:t>BondCo</w:t>
      </w:r>
      <w:proofErr w:type="spellEnd"/>
      <w:r w:rsidR="003631D6" w:rsidRPr="00BD2206">
        <w:t xml:space="preserve"> will issue </w:t>
      </w:r>
      <w:r w:rsidR="00327D9C" w:rsidRPr="00BD2206">
        <w:t xml:space="preserve">system restoration </w:t>
      </w:r>
      <w:r w:rsidR="003631D6" w:rsidRPr="00BD2206">
        <w:t xml:space="preserve">bonds and will transfer the net proceeds from the sale of the </w:t>
      </w:r>
      <w:r w:rsidR="00327D9C" w:rsidRPr="00BD2206">
        <w:t xml:space="preserve">system restoration </w:t>
      </w:r>
      <w:r w:rsidR="003631D6" w:rsidRPr="00BD2206">
        <w:t xml:space="preserve">bonds to </w:t>
      </w:r>
      <w:r w:rsidRPr="00BD2206">
        <w:t>AEP Texas</w:t>
      </w:r>
      <w:r w:rsidR="003631D6" w:rsidRPr="00BD2206">
        <w:t xml:space="preserve"> in consideration for the transfer of the corresponding transition property.  </w:t>
      </w:r>
      <w:proofErr w:type="spellStart"/>
      <w:r w:rsidR="003631D6" w:rsidRPr="00BD2206">
        <w:t>BondCo</w:t>
      </w:r>
      <w:proofErr w:type="spellEnd"/>
      <w:r w:rsidR="003631D6" w:rsidRPr="00BD2206">
        <w:t xml:space="preserve"> will be organized and managed in a manner designed to achieve the objective of maintaining </w:t>
      </w:r>
      <w:proofErr w:type="spellStart"/>
      <w:r w:rsidR="003631D6" w:rsidRPr="00BD2206">
        <w:t>BondCo</w:t>
      </w:r>
      <w:proofErr w:type="spellEnd"/>
      <w:r w:rsidR="003631D6" w:rsidRPr="00BD2206">
        <w:t xml:space="preserve"> as a bankruptcy-remote entity that would not be affected by the bankruptcy of </w:t>
      </w:r>
      <w:r w:rsidRPr="00BD2206">
        <w:t>AEP Texas</w:t>
      </w:r>
      <w:r w:rsidR="003631D6" w:rsidRPr="00BD2206">
        <w:t xml:space="preserve"> or any other affiliates of </w:t>
      </w:r>
      <w:r w:rsidRPr="00BD2206">
        <w:t>AEP Texas</w:t>
      </w:r>
      <w:r w:rsidR="003631D6" w:rsidRPr="00BD2206">
        <w:t xml:space="preserve"> or any of their respective successors.  In addition, </w:t>
      </w:r>
      <w:proofErr w:type="spellStart"/>
      <w:r w:rsidR="003631D6" w:rsidRPr="00BD2206">
        <w:t>BondCo</w:t>
      </w:r>
      <w:proofErr w:type="spellEnd"/>
      <w:r w:rsidR="003631D6" w:rsidRPr="00BD2206">
        <w:t xml:space="preserve"> will have at least one independent manager whose approval will be required for certain major actions or organizational changes by </w:t>
      </w:r>
      <w:proofErr w:type="spellStart"/>
      <w:r w:rsidR="003631D6" w:rsidRPr="00BD2206">
        <w:t>BondCo</w:t>
      </w:r>
      <w:proofErr w:type="spellEnd"/>
      <w:r w:rsidR="003631D6" w:rsidRPr="00BD2206">
        <w:t>.</w:t>
      </w:r>
    </w:p>
    <w:p w14:paraId="1D9BB31E" w14:textId="77777777" w:rsidR="003631D6" w:rsidRPr="00BD2206" w:rsidRDefault="003631D6" w:rsidP="003631D6">
      <w:pPr>
        <w:pStyle w:val="BodyText"/>
      </w:pPr>
      <w:r w:rsidRPr="00BD2206">
        <w:t xml:space="preserve">The </w:t>
      </w:r>
      <w:r w:rsidR="00327D9C" w:rsidRPr="00BD2206">
        <w:t xml:space="preserve">system restoration </w:t>
      </w:r>
      <w:r w:rsidRPr="00BD2206">
        <w:t>bonds will be issued pursuant to an indenture and administered by an indenture trustee.</w:t>
      </w:r>
      <w:r w:rsidRPr="00BD2206">
        <w:rPr>
          <w:rStyle w:val="FootnoteReference"/>
        </w:rPr>
        <w:footnoteReference w:id="49"/>
      </w:r>
      <w:r w:rsidRPr="00BD2206">
        <w:t xml:space="preserve">  The </w:t>
      </w:r>
      <w:r w:rsidR="004100A4" w:rsidRPr="00BD2206">
        <w:t xml:space="preserve">system restoration </w:t>
      </w:r>
      <w:r w:rsidRPr="00BD2206">
        <w:t xml:space="preserve">bonds will be secured by and payable solely out of the transition property created pursuant to this Financing Order and other collateral described in </w:t>
      </w:r>
      <w:r w:rsidR="00DA6854" w:rsidRPr="00BD2206">
        <w:t>AEP Texas</w:t>
      </w:r>
      <w:r w:rsidR="001E7145" w:rsidRPr="00BD2206">
        <w:t>’</w:t>
      </w:r>
      <w:r w:rsidRPr="00BD2206">
        <w:t xml:space="preserve"> application.  That collateral will be pledged to the indenture trustee for the benefit of the holders of the </w:t>
      </w:r>
      <w:r w:rsidR="00327D9C" w:rsidRPr="00BD2206">
        <w:t xml:space="preserve">system restoration </w:t>
      </w:r>
      <w:r w:rsidRPr="00BD2206">
        <w:t>bonds and to secure payment of certain qualified costs.</w:t>
      </w:r>
      <w:bookmarkEnd w:id="240"/>
      <w:bookmarkEnd w:id="241"/>
      <w:bookmarkEnd w:id="242"/>
      <w:bookmarkEnd w:id="243"/>
      <w:bookmarkEnd w:id="244"/>
    </w:p>
    <w:p w14:paraId="79333DA4" w14:textId="3BE9E1C5" w:rsidR="003631D6" w:rsidRPr="00BD2206" w:rsidRDefault="003631D6" w:rsidP="003F7243">
      <w:pPr>
        <w:pStyle w:val="BodyText"/>
      </w:pPr>
      <w:bookmarkStart w:id="245" w:name="_Toc83701856"/>
      <w:bookmarkStart w:id="246" w:name="_Toc83702526"/>
      <w:bookmarkStart w:id="247" w:name="_Toc83702971"/>
      <w:bookmarkStart w:id="248" w:name="_Toc83703705"/>
      <w:bookmarkStart w:id="249" w:name="_Toc89613519"/>
      <w:r w:rsidRPr="00BD2206">
        <w:t xml:space="preserve">The servicer of the </w:t>
      </w:r>
      <w:r w:rsidR="00327D9C" w:rsidRPr="00BD2206">
        <w:t xml:space="preserve">system restoration </w:t>
      </w:r>
      <w:r w:rsidRPr="00BD2206">
        <w:t xml:space="preserve">bonds will collect the </w:t>
      </w:r>
      <w:r w:rsidR="00327D9C" w:rsidRPr="00BD2206">
        <w:t xml:space="preserve">system restoration </w:t>
      </w:r>
      <w:r w:rsidRPr="00BD2206">
        <w:t xml:space="preserve">charges and remit those amounts to the indenture trustee on behalf of </w:t>
      </w:r>
      <w:proofErr w:type="spellStart"/>
      <w:r w:rsidRPr="00BD2206">
        <w:t>BondCo</w:t>
      </w:r>
      <w:proofErr w:type="spellEnd"/>
      <w:r w:rsidRPr="00BD2206">
        <w:t xml:space="preserve">.  The servicer will be responsible for filing any required or allowed true-ups of the </w:t>
      </w:r>
      <w:r w:rsidR="00327D9C" w:rsidRPr="00BD2206">
        <w:t xml:space="preserve">system restoration </w:t>
      </w:r>
      <w:r w:rsidRPr="00BD2206">
        <w:t>charges.  If the servicer defaults on its obligations under the servicing agreement, the indenture trustee may</w:t>
      </w:r>
      <w:r w:rsidR="00B86FEE" w:rsidRPr="00BD2206">
        <w:t>, on behalf of the holders of system restoration bonds,</w:t>
      </w:r>
      <w:r w:rsidRPr="00BD2206">
        <w:t xml:space="preserve"> appoint a successor servicer.  </w:t>
      </w:r>
      <w:r w:rsidR="00DA6854" w:rsidRPr="00BD2206">
        <w:t>AEP Texas</w:t>
      </w:r>
      <w:r w:rsidRPr="00BD2206">
        <w:t xml:space="preserve"> will act as the initial servicer for the </w:t>
      </w:r>
      <w:r w:rsidR="00327D9C" w:rsidRPr="00BD2206">
        <w:t xml:space="preserve">system restoration </w:t>
      </w:r>
      <w:r w:rsidRPr="00BD2206">
        <w:t>bonds.</w:t>
      </w:r>
      <w:bookmarkEnd w:id="245"/>
      <w:bookmarkEnd w:id="246"/>
      <w:bookmarkEnd w:id="247"/>
      <w:bookmarkEnd w:id="248"/>
      <w:bookmarkEnd w:id="249"/>
    </w:p>
    <w:p w14:paraId="3DD0C22D" w14:textId="6B2738D6" w:rsidR="003631D6" w:rsidRPr="00BD2206" w:rsidRDefault="003631D6" w:rsidP="003F7243">
      <w:pPr>
        <w:pStyle w:val="BodyText"/>
      </w:pPr>
      <w:bookmarkStart w:id="250" w:name="_Toc83701857"/>
      <w:bookmarkStart w:id="251" w:name="_Toc83702527"/>
      <w:bookmarkStart w:id="252" w:name="_Toc83702972"/>
      <w:bookmarkStart w:id="253" w:name="_Toc83703706"/>
      <w:bookmarkStart w:id="254" w:name="_Toc89613520"/>
      <w:r w:rsidRPr="00BD2206">
        <w:t xml:space="preserve">Retail electric providers (“REPs”) will be required to meet certain financial standards to collect </w:t>
      </w:r>
      <w:r w:rsidR="00327D9C" w:rsidRPr="00BD2206">
        <w:t xml:space="preserve">system restoration </w:t>
      </w:r>
      <w:r w:rsidRPr="00BD2206">
        <w:t>charges under this Financing Order</w:t>
      </w:r>
      <w:bookmarkStart w:id="255" w:name="_cp_text_1_364"/>
      <w:r w:rsidR="00907893" w:rsidRPr="00BD2206">
        <w:t>, consistent with the financial standards they must meet to collect transition charges under financing orders issued under Chapter 39, Subchapter G</w:t>
      </w:r>
      <w:bookmarkEnd w:id="255"/>
      <w:r w:rsidRPr="00BD2206">
        <w:t xml:space="preserve">.  If the REP qualifies to collect </w:t>
      </w:r>
      <w:r w:rsidR="00327D9C" w:rsidRPr="00BD2206">
        <w:t xml:space="preserve">system restoration </w:t>
      </w:r>
      <w:r w:rsidRPr="00BD2206">
        <w:t xml:space="preserve">charges, the servicer will bill to and collect from the REP the </w:t>
      </w:r>
      <w:r w:rsidR="00327D9C" w:rsidRPr="00BD2206">
        <w:t xml:space="preserve">system restoration </w:t>
      </w:r>
      <w:r w:rsidRPr="00BD2206">
        <w:t xml:space="preserve">charges attributable to the REP’s customers.  The REP in turn will bill to and collect from its retail customers the </w:t>
      </w:r>
      <w:r w:rsidR="00327D9C" w:rsidRPr="00BD2206">
        <w:t xml:space="preserve">system restoration </w:t>
      </w:r>
      <w:r w:rsidRPr="00BD2206">
        <w:t xml:space="preserve">charges attributable to them.  If any REP fails to qualify to collect </w:t>
      </w:r>
      <w:r w:rsidR="00327D9C" w:rsidRPr="00BD2206">
        <w:t xml:space="preserve">system restoration </w:t>
      </w:r>
      <w:r w:rsidRPr="00BD2206">
        <w:t xml:space="preserve">charges or defaults in the remittance of those charges to the servicer of the </w:t>
      </w:r>
      <w:r w:rsidR="00327D9C" w:rsidRPr="00BD2206">
        <w:t xml:space="preserve">system restoration </w:t>
      </w:r>
      <w:r w:rsidRPr="00BD2206">
        <w:t xml:space="preserve">bonds, another entity can assume responsibility for collection of the </w:t>
      </w:r>
      <w:r w:rsidR="00327D9C" w:rsidRPr="00BD2206">
        <w:t xml:space="preserve">system restoration </w:t>
      </w:r>
      <w:r w:rsidRPr="00BD2206">
        <w:t>charges from the REP’s retail customers.</w:t>
      </w:r>
      <w:bookmarkEnd w:id="250"/>
      <w:bookmarkEnd w:id="251"/>
      <w:bookmarkEnd w:id="252"/>
      <w:bookmarkEnd w:id="253"/>
      <w:bookmarkEnd w:id="254"/>
    </w:p>
    <w:p w14:paraId="0CB60D18" w14:textId="4F79C833" w:rsidR="003631D6" w:rsidRPr="00BD2206" w:rsidRDefault="00BA39BF" w:rsidP="003F7243">
      <w:pPr>
        <w:pStyle w:val="BodyText"/>
      </w:pPr>
      <w:bookmarkStart w:id="256" w:name="_Toc83701858"/>
      <w:bookmarkStart w:id="257" w:name="_Toc83702528"/>
      <w:bookmarkStart w:id="258" w:name="_Toc83702973"/>
      <w:bookmarkStart w:id="259" w:name="_Toc83703707"/>
      <w:bookmarkStart w:id="260" w:name="_Toc89613521"/>
      <w:r w:rsidRPr="00BD2206">
        <w:t xml:space="preserve">System restoration </w:t>
      </w:r>
      <w:r w:rsidR="003631D6" w:rsidRPr="00BD2206">
        <w:t xml:space="preserve">charges will be calculated to ensure the collection of an amount sufficient to service the principal, interest, and related charges for the </w:t>
      </w:r>
      <w:r w:rsidR="001E7145" w:rsidRPr="00BD2206">
        <w:t>s</w:t>
      </w:r>
      <w:r w:rsidRPr="00BD2206">
        <w:t xml:space="preserve">ystem restoration </w:t>
      </w:r>
      <w:r w:rsidR="003631D6" w:rsidRPr="00BD2206">
        <w:t xml:space="preserve">bonds and in a manner that allocates this amount to the various classes of retail </w:t>
      </w:r>
      <w:r w:rsidR="00824E79" w:rsidRPr="00BD2206">
        <w:t>customers</w:t>
      </w:r>
      <w:r w:rsidR="003631D6" w:rsidRPr="00BD2206">
        <w:t xml:space="preserve"> </w:t>
      </w:r>
      <w:bookmarkStart w:id="261" w:name="_cp_text_1_368"/>
      <w:r w:rsidR="00EC59B7" w:rsidRPr="00BD2206">
        <w:t>in the same manner as the corresponding facilities and related expenses are allocated among customers in AEP Texas’ current base rates</w:t>
      </w:r>
      <w:bookmarkEnd w:id="261"/>
      <w:r w:rsidR="003631D6" w:rsidRPr="00BD2206">
        <w:t xml:space="preserve">.  The </w:t>
      </w:r>
      <w:r w:rsidRPr="00BD2206">
        <w:t xml:space="preserve">System restoration </w:t>
      </w:r>
      <w:r w:rsidR="003631D6" w:rsidRPr="00BD2206">
        <w:t xml:space="preserve">charges will be calculated pursuant to the method described in Schedule </w:t>
      </w:r>
      <w:r w:rsidRPr="00BD2206">
        <w:t>SRC</w:t>
      </w:r>
      <w:r w:rsidR="003631D6" w:rsidRPr="00BD2206">
        <w:t xml:space="preserve">, a pro forma copy of which is contained in Appendix B.  In addition to the annual true-up required by PURA § 39.307, interim true-ups shall be performed semi-annually (or quarterly after the </w:t>
      </w:r>
      <w:r w:rsidR="00624115" w:rsidRPr="00BD2206">
        <w:t xml:space="preserve">final </w:t>
      </w:r>
      <w:r w:rsidR="003631D6" w:rsidRPr="00BD2206">
        <w:t xml:space="preserve">scheduled </w:t>
      </w:r>
      <w:r w:rsidR="00624115" w:rsidRPr="00BD2206">
        <w:t xml:space="preserve">payment </w:t>
      </w:r>
      <w:r w:rsidR="003631D6" w:rsidRPr="00BD2206">
        <w:t xml:space="preserve">date </w:t>
      </w:r>
      <w:r w:rsidR="00624115" w:rsidRPr="00BD2206">
        <w:t xml:space="preserve">of the last tranche </w:t>
      </w:r>
      <w:r w:rsidR="003631D6" w:rsidRPr="00BD2206">
        <w:t xml:space="preserve">of the </w:t>
      </w:r>
      <w:r w:rsidR="001E7145" w:rsidRPr="00BD2206">
        <w:t>s</w:t>
      </w:r>
      <w:r w:rsidRPr="00BD2206">
        <w:t xml:space="preserve">ystem restoration </w:t>
      </w:r>
      <w:r w:rsidR="003631D6" w:rsidRPr="00BD2206">
        <w:t xml:space="preserve">bonds) if necessary to ensure that the amount collected from </w:t>
      </w:r>
      <w:r w:rsidR="001E7145" w:rsidRPr="00BD2206">
        <w:t>s</w:t>
      </w:r>
      <w:r w:rsidRPr="00BD2206">
        <w:t xml:space="preserve">ystem restoration </w:t>
      </w:r>
      <w:r w:rsidR="003631D6" w:rsidRPr="00BD2206">
        <w:t xml:space="preserve">charges is sufficient to service the </w:t>
      </w:r>
      <w:r w:rsidR="001E7145" w:rsidRPr="00BD2206">
        <w:t>s</w:t>
      </w:r>
      <w:r w:rsidRPr="00BD2206">
        <w:t xml:space="preserve">ystem restoration </w:t>
      </w:r>
      <w:r w:rsidR="003631D6" w:rsidRPr="00BD2206">
        <w:t xml:space="preserve">bonds and may be performed at other times as provided in this Financing Order.  A non-standard true-up will be allowed for other circumstances as provided in this Financing Order.  The methodology for making true-ups and allocation adjustments and the circumstances under which each shall be made are described in pro forma Schedule </w:t>
      </w:r>
      <w:r w:rsidRPr="00BD2206">
        <w:t>SR</w:t>
      </w:r>
      <w:r w:rsidR="003631D6" w:rsidRPr="00BD2206">
        <w:t>C, attached to this Financing Order as Appendix B.</w:t>
      </w:r>
      <w:bookmarkStart w:id="262" w:name="_Toc462641832"/>
      <w:bookmarkStart w:id="263" w:name="_Toc89613522"/>
      <w:bookmarkStart w:id="264" w:name="_Toc83701859"/>
      <w:bookmarkStart w:id="265" w:name="_Toc83702529"/>
      <w:bookmarkStart w:id="266" w:name="_Toc83702974"/>
      <w:bookmarkStart w:id="267" w:name="_Toc83703708"/>
      <w:bookmarkEnd w:id="256"/>
      <w:bookmarkEnd w:id="257"/>
      <w:bookmarkEnd w:id="258"/>
      <w:bookmarkEnd w:id="259"/>
      <w:bookmarkEnd w:id="260"/>
      <w:r w:rsidR="003631D6" w:rsidRPr="00BD2206">
        <w:t xml:space="preserve">  If </w:t>
      </w:r>
      <w:r w:rsidR="001E7145" w:rsidRPr="00BD2206">
        <w:t>s</w:t>
      </w:r>
      <w:r w:rsidRPr="00BD2206">
        <w:t xml:space="preserve">ystem restoration </w:t>
      </w:r>
      <w:r w:rsidR="003631D6" w:rsidRPr="00BD2206">
        <w:t>bonds are issued in more than one series, then each series will be subject to a separate true-up pursuant to PURA and this Financing Order</w:t>
      </w:r>
      <w:r w:rsidR="00726C07" w:rsidRPr="00BD2206">
        <w:t>;</w:t>
      </w:r>
      <w:r w:rsidR="003631D6" w:rsidRPr="00BD2206">
        <w:t xml:space="preserve"> provided, however, that more than one series may be trued-up in a single proceeding.</w:t>
      </w:r>
    </w:p>
    <w:p w14:paraId="3F2115E7" w14:textId="77777777" w:rsidR="003631D6" w:rsidRPr="00BD2206" w:rsidRDefault="003631D6" w:rsidP="003F7243">
      <w:pPr>
        <w:pStyle w:val="BodyText"/>
      </w:pPr>
      <w:r w:rsidRPr="00BD2206">
        <w:t xml:space="preserve">The Commission determines that </w:t>
      </w:r>
      <w:r w:rsidR="00DA6854" w:rsidRPr="00BD2206">
        <w:t>AEP Texas</w:t>
      </w:r>
      <w:r w:rsidR="00BA39BF" w:rsidRPr="00BD2206">
        <w:t>’</w:t>
      </w:r>
      <w:r w:rsidRPr="00BD2206">
        <w:t xml:space="preserve"> proposed structure for the </w:t>
      </w:r>
      <w:r w:rsidR="001E7145" w:rsidRPr="00BD2206">
        <w:t>s</w:t>
      </w:r>
      <w:r w:rsidR="00BA39BF" w:rsidRPr="00BD2206">
        <w:t xml:space="preserve">ystem restoration </w:t>
      </w:r>
      <w:r w:rsidRPr="00BD2206">
        <w:t xml:space="preserve">charges should be utilized.  This structure provides for substantially </w:t>
      </w:r>
      <w:proofErr w:type="spellStart"/>
      <w:r w:rsidRPr="00BD2206">
        <w:t>levelized</w:t>
      </w:r>
      <w:proofErr w:type="spellEnd"/>
      <w:r w:rsidRPr="00BD2206">
        <w:t xml:space="preserve"> annual revenue requirements over the expected life of the </w:t>
      </w:r>
      <w:r w:rsidR="001E7145" w:rsidRPr="00BD2206">
        <w:t>s</w:t>
      </w:r>
      <w:r w:rsidR="00BA39BF" w:rsidRPr="00BD2206">
        <w:t xml:space="preserve">ystem restoration </w:t>
      </w:r>
      <w:r w:rsidRPr="00BD2206">
        <w:t xml:space="preserve">bonds.  This structure offers the benefit of not relying upon customer growth and will allow the resulting </w:t>
      </w:r>
      <w:r w:rsidR="001E7145" w:rsidRPr="00BD2206">
        <w:t>s</w:t>
      </w:r>
      <w:r w:rsidR="00BA39BF" w:rsidRPr="00BD2206">
        <w:t xml:space="preserve">ystem restoration </w:t>
      </w:r>
      <w:r w:rsidRPr="00BD2206">
        <w:t xml:space="preserve">charges to remain level or decline over time, if billing determinants remain level or grow.  Further, </w:t>
      </w:r>
      <w:r w:rsidR="00DA6854" w:rsidRPr="00BD2206">
        <w:t>AEP Texas</w:t>
      </w:r>
      <w:r w:rsidRPr="00BD2206">
        <w:t xml:space="preserve">’ proposed </w:t>
      </w:r>
      <w:r w:rsidR="001E7145" w:rsidRPr="00BD2206">
        <w:t>s</w:t>
      </w:r>
      <w:r w:rsidR="00BA39BF" w:rsidRPr="00BD2206">
        <w:t xml:space="preserve">ystem restoration </w:t>
      </w:r>
      <w:r w:rsidRPr="00BD2206">
        <w:t>charge tariff applies consistent allocation factors across rate classes, subject to modification in accordance with the true-up mechanisms adopted in this Financing Order.</w:t>
      </w:r>
    </w:p>
    <w:p w14:paraId="735223FE" w14:textId="04B8A249" w:rsidR="003631D6" w:rsidRPr="00BD2206" w:rsidRDefault="003631D6" w:rsidP="003F7243">
      <w:pPr>
        <w:pStyle w:val="BodyText"/>
      </w:pPr>
      <w:bookmarkStart w:id="268" w:name="_Toc89613523"/>
      <w:bookmarkEnd w:id="262"/>
      <w:bookmarkEnd w:id="263"/>
      <w:r w:rsidRPr="00BD2206">
        <w:t>All of the bonds issued in prior Texas securitizations have been issued with a fixed interest rate.</w:t>
      </w:r>
      <w:r w:rsidRPr="00BD2206">
        <w:rPr>
          <w:rStyle w:val="FootnoteReference"/>
        </w:rPr>
        <w:footnoteReference w:id="50"/>
      </w:r>
      <w:r w:rsidRPr="00BD2206">
        <w:t xml:space="preserve">  A fixed interest rate is necessary to assure that </w:t>
      </w:r>
      <w:r w:rsidR="00824E79" w:rsidRPr="00BD2206">
        <w:t xml:space="preserve">ratepayers </w:t>
      </w:r>
      <w:r w:rsidRPr="00BD2206">
        <w:t xml:space="preserve">benefit from the securitization.  Although the benefits of fixed rates can be achieved through a combination of floating rate bonds and interest rate swaps, the Commission in prior securitizations in Texas concluded that the possible benefit of floating rate bonds did not outweigh the cost of preparing for and executing interest rate swaps and the potential risks swaps would impose on </w:t>
      </w:r>
      <w:r w:rsidR="00824E79" w:rsidRPr="00BD2206">
        <w:t>ratepayers</w:t>
      </w:r>
      <w:r w:rsidRPr="00BD2206">
        <w:t xml:space="preserve">.  As a result, the financing orders in those proceedings prohibited the use of swaps and thus, effectively, the issuance of floating rate bonds.  </w:t>
      </w:r>
      <w:r w:rsidR="00395D24" w:rsidRPr="00BD2206">
        <w:t xml:space="preserve">The Commission </w:t>
      </w:r>
      <w:r w:rsidRPr="00BD2206">
        <w:t>reach</w:t>
      </w:r>
      <w:r w:rsidR="00395D24" w:rsidRPr="00BD2206">
        <w:t>es</w:t>
      </w:r>
      <w:r w:rsidRPr="00BD2206">
        <w:t xml:space="preserve"> the same conclusion in this proceeding and will prohibit </w:t>
      </w:r>
      <w:r w:rsidR="00DA6854" w:rsidRPr="00BD2206">
        <w:t>AEP Texas</w:t>
      </w:r>
      <w:r w:rsidRPr="00BD2206">
        <w:t xml:space="preserve"> from issuing floating rate bonds.</w:t>
      </w:r>
    </w:p>
    <w:p w14:paraId="313BC8C0" w14:textId="65B28ECB" w:rsidR="003631D6" w:rsidRPr="00BD2206" w:rsidRDefault="00395D24" w:rsidP="003631D6">
      <w:pPr>
        <w:pStyle w:val="BodyText"/>
      </w:pPr>
      <w:r w:rsidRPr="00BD2206">
        <w:t xml:space="preserve">The Commission </w:t>
      </w:r>
      <w:r w:rsidR="003631D6" w:rsidRPr="00BD2206">
        <w:t>reach</w:t>
      </w:r>
      <w:r w:rsidRPr="00BD2206">
        <w:t>es</w:t>
      </w:r>
      <w:r w:rsidR="003631D6" w:rsidRPr="00BD2206">
        <w:t xml:space="preserve"> a similar conclusion that issuance of bonds denominated in foreign currency should likewise be prohibited.  Denominating bonds in foreign currency would create foreign currency risks for </w:t>
      </w:r>
      <w:r w:rsidR="00824E79" w:rsidRPr="00BD2206">
        <w:t>ratepayers</w:t>
      </w:r>
      <w:r w:rsidR="003631D6" w:rsidRPr="00BD2206">
        <w:t xml:space="preserve">.  While these risks can be reduced through use of derivatives, the derivatives themselves create risks for </w:t>
      </w:r>
      <w:r w:rsidR="00824E79" w:rsidRPr="00BD2206">
        <w:t>ratepayers</w:t>
      </w:r>
      <w:r w:rsidR="003631D6" w:rsidRPr="00BD2206">
        <w:t>.</w:t>
      </w:r>
    </w:p>
    <w:p w14:paraId="5D9142CB" w14:textId="77777777" w:rsidR="003631D6" w:rsidRPr="00BD2206" w:rsidRDefault="003631D6" w:rsidP="003631D6">
      <w:pPr>
        <w:pStyle w:val="BodyText"/>
      </w:pPr>
      <w:r w:rsidRPr="00BD2206">
        <w:t xml:space="preserve">Interest rate hedges can also be used to lock in interest rates or limit the variability of interest rates prior to issuance of bonds.  However, the hedge is a bet on the direction of future market changes, which is neither necessary nor appropriate.  Hedges also create additional costs and risks if, for any reason, the </w:t>
      </w:r>
      <w:r w:rsidR="00714225" w:rsidRPr="00BD2206">
        <w:t xml:space="preserve">system restoration </w:t>
      </w:r>
      <w:r w:rsidRPr="00BD2206">
        <w:t xml:space="preserve">bonds are not issued or the amount issued is different from the principal hedged.  As a result, this Financing Order prohibits </w:t>
      </w:r>
      <w:r w:rsidR="00DA6854" w:rsidRPr="00BD2206">
        <w:t>AEP Texas</w:t>
      </w:r>
      <w:r w:rsidRPr="00BD2206">
        <w:t xml:space="preserve"> from issuing </w:t>
      </w:r>
      <w:r w:rsidR="00714225" w:rsidRPr="00BD2206">
        <w:t xml:space="preserve">system restoration </w:t>
      </w:r>
      <w:r w:rsidRPr="00BD2206">
        <w:t>bonds denominated in foreign currencies and from entering into interest rate hedges.</w:t>
      </w:r>
    </w:p>
    <w:p w14:paraId="28BC45CE" w14:textId="64A47B79" w:rsidR="00C5137C" w:rsidRPr="00BD2206" w:rsidRDefault="00C5137C" w:rsidP="00C5137C">
      <w:pPr>
        <w:pStyle w:val="BodyText"/>
      </w:pPr>
      <w:bookmarkStart w:id="269" w:name="_Toc462641833"/>
      <w:bookmarkEnd w:id="264"/>
      <w:bookmarkEnd w:id="265"/>
      <w:bookmarkEnd w:id="266"/>
      <w:bookmarkEnd w:id="267"/>
      <w:bookmarkEnd w:id="268"/>
      <w:r w:rsidRPr="00BD2206">
        <w:t xml:space="preserve">AEP Texas requested approval of system restoration charges sufficient to recover the principal and interest on the system restoration bonds plus ongoing qualified costs as described in this Financing Order and Appendix C attached hereto.  AEP Texas requested that the system restoration charges be recovered from REPs, and through them from retail </w:t>
      </w:r>
      <w:r w:rsidR="00824E79" w:rsidRPr="00BD2206">
        <w:t>customers</w:t>
      </w:r>
      <w:r w:rsidRPr="00BD2206">
        <w:t>, and that the amount of the system restoration charges be calculated based upon the allocation methodology and billing determinants specified in Schedule SRC.  AEP Texas also requested that certain standards related to the billing and collection of system restoration charges be applied to REPs, as specified in Schedule SRC.  To implement the system restoration charges and billing and collection requirements, AEP Texas requested approval of Schedule SRC.</w:t>
      </w:r>
    </w:p>
    <w:p w14:paraId="59CEC46E" w14:textId="09663A3B" w:rsidR="00C5137C" w:rsidRPr="00BD2206" w:rsidRDefault="00C5137C" w:rsidP="00C5137C">
      <w:pPr>
        <w:pStyle w:val="BodyText"/>
      </w:pPr>
      <w:r w:rsidRPr="00BD2206">
        <w:t xml:space="preserve">AEP Texas requested authority to securitize and to cause the issuance of system restoration bonds in an aggregate principal amount not to exceed the sum of (1) the </w:t>
      </w:r>
      <w:proofErr w:type="spellStart"/>
      <w:r w:rsidRPr="00BD2206">
        <w:t>Securitizable</w:t>
      </w:r>
      <w:proofErr w:type="spellEnd"/>
      <w:r w:rsidRPr="00BD2206">
        <w:t xml:space="preserve"> Balance at the date of issuance of the system restoration bonds plus (2) its actual up-front qualified costs of issuing, supporting, and servicing the system restoration bonds</w:t>
      </w:r>
      <w:r w:rsidR="001E7145" w:rsidRPr="00BD2206">
        <w:t>.</w:t>
      </w:r>
      <w:r w:rsidRPr="00BD2206">
        <w:t xml:space="preserve"> </w:t>
      </w:r>
      <w:r w:rsidR="001E7145" w:rsidRPr="00BD2206">
        <w:t xml:space="preserve"> </w:t>
      </w:r>
      <w:r w:rsidRPr="00BD2206">
        <w:t xml:space="preserve">AEP Texas provided an illustrative analysis of the costs and benefits of securitization using its estimate of the </w:t>
      </w:r>
      <w:r w:rsidR="00492A8C">
        <w:t>May</w:t>
      </w:r>
      <w:r w:rsidR="00334FC6" w:rsidRPr="00BD2206">
        <w:t xml:space="preserve"> </w:t>
      </w:r>
      <w:r w:rsidRPr="00BD2206">
        <w:t xml:space="preserve">2019, </w:t>
      </w:r>
      <w:proofErr w:type="spellStart"/>
      <w:r w:rsidRPr="00BD2206">
        <w:t>Securitizable</w:t>
      </w:r>
      <w:proofErr w:type="spellEnd"/>
      <w:r w:rsidRPr="00BD2206">
        <w:t xml:space="preserve"> Balance.  AEP Texas proposed that these amounts be updated in the issuance advice letter to reflect the actual issuance date of the system restoration bonds and other relevant current information as permitted by this Financing Order, and that </w:t>
      </w:r>
      <w:r w:rsidR="00051FDA" w:rsidRPr="00BD2206">
        <w:t xml:space="preserve">AEP Texas </w:t>
      </w:r>
      <w:r w:rsidRPr="00BD2206">
        <w:t xml:space="preserve">be authorized to securitize the updated </w:t>
      </w:r>
      <w:proofErr w:type="spellStart"/>
      <w:r w:rsidRPr="00BD2206">
        <w:t>Securitizable</w:t>
      </w:r>
      <w:proofErr w:type="spellEnd"/>
      <w:r w:rsidRPr="00BD2206">
        <w:t xml:space="preserve"> Balance and up-front qualified costs as reflected in the issuance advice letter.</w:t>
      </w:r>
    </w:p>
    <w:p w14:paraId="6C528C92" w14:textId="5816BC14" w:rsidR="00C5137C" w:rsidRPr="00BD2206" w:rsidRDefault="00051FDA" w:rsidP="00C5137C">
      <w:pPr>
        <w:pStyle w:val="BodyText"/>
      </w:pPr>
      <w:r w:rsidRPr="00BD2206">
        <w:t xml:space="preserve">AEP Texas </w:t>
      </w:r>
      <w:r w:rsidR="00C5137C" w:rsidRPr="00BD2206">
        <w:t xml:space="preserve">requested in the application that its up-front and ongoing costs of issuing and maintaining the system restoration bonds be recovered respectively through the system restoration bonds and system restoration charges approved in this Financing Order.  </w:t>
      </w:r>
      <w:r w:rsidR="00454989" w:rsidRPr="00BD2206">
        <w:t xml:space="preserve">AEP Texas </w:t>
      </w:r>
      <w:r w:rsidR="00C5137C" w:rsidRPr="00BD2206">
        <w:t xml:space="preserve">estimated that its up-front costs would total approximately </w:t>
      </w:r>
      <w:r w:rsidR="00185856" w:rsidRPr="00BD2206">
        <w:t>$4.</w:t>
      </w:r>
      <w:r w:rsidR="00303967" w:rsidRPr="00BD2206">
        <w:t>6</w:t>
      </w:r>
      <w:r w:rsidR="00185856" w:rsidRPr="00BD2206">
        <w:t xml:space="preserve"> </w:t>
      </w:r>
      <w:r w:rsidR="00C5137C" w:rsidRPr="00BD2206">
        <w:t xml:space="preserve">million, while ongoing costs of servicing the system restoration bonds would total approximately </w:t>
      </w:r>
      <w:r w:rsidR="00185856" w:rsidRPr="00BD2206">
        <w:t xml:space="preserve">$504,000 </w:t>
      </w:r>
      <w:r w:rsidR="00C5137C" w:rsidRPr="00BD2206">
        <w:t xml:space="preserve">per year for each year of the term of the bonds.  The estimates were based on assumptions regarding a number of variables that will directly affect the level of up-front and ongoing qualified costs including (1) the total </w:t>
      </w:r>
      <w:proofErr w:type="spellStart"/>
      <w:r w:rsidR="00C5137C" w:rsidRPr="00BD2206">
        <w:t>Securitizable</w:t>
      </w:r>
      <w:proofErr w:type="spellEnd"/>
      <w:r w:rsidR="00C5137C" w:rsidRPr="00BD2206">
        <w:t xml:space="preserve"> Balance will be </w:t>
      </w:r>
      <w:r w:rsidR="00185856" w:rsidRPr="00BD2206">
        <w:t>$22</w:t>
      </w:r>
      <w:r w:rsidR="0090021D" w:rsidRPr="00BD2206">
        <w:t>4.9</w:t>
      </w:r>
      <w:r w:rsidR="00185856" w:rsidRPr="00BD2206">
        <w:t xml:space="preserve"> </w:t>
      </w:r>
      <w:r w:rsidR="00C5137C" w:rsidRPr="00BD2206">
        <w:t>million;</w:t>
      </w:r>
      <w:r w:rsidR="00D07E3B" w:rsidRPr="00BD2206">
        <w:t xml:space="preserve"> </w:t>
      </w:r>
      <w:r w:rsidR="00C5137C" w:rsidRPr="00BD2206">
        <w:t xml:space="preserve">(2) only one series of system restoration bonds will be issued; (3) the financing order proceeding will not be contested; (4) the financing order will not permit use of interest rate or foreign currency hedges, floating rate bonds, or bonds denominated in foreign currencies; </w:t>
      </w:r>
      <w:r w:rsidR="004604C9" w:rsidRPr="00BD2206">
        <w:t xml:space="preserve">and </w:t>
      </w:r>
      <w:r w:rsidR="00C5137C" w:rsidRPr="00BD2206">
        <w:t>(5)</w:t>
      </w:r>
      <w:r w:rsidR="00624115" w:rsidRPr="00BD2206">
        <w:t xml:space="preserve"> AEP Texas acts as servicer</w:t>
      </w:r>
      <w:r w:rsidR="00C5137C" w:rsidRPr="00BD2206">
        <w:t>.</w:t>
      </w:r>
    </w:p>
    <w:p w14:paraId="35E7AA5C" w14:textId="40D06DE3" w:rsidR="00C5137C" w:rsidRPr="00BD2206" w:rsidRDefault="00C5137C" w:rsidP="00C5137C">
      <w:pPr>
        <w:pStyle w:val="BodyText"/>
      </w:pPr>
      <w:r w:rsidRPr="00BD2206">
        <w:t xml:space="preserve">The Commission’s analysis of </w:t>
      </w:r>
      <w:r w:rsidR="00051FDA" w:rsidRPr="00BD2206">
        <w:t xml:space="preserve">AEP Texas’ </w:t>
      </w:r>
      <w:r w:rsidRPr="00BD2206">
        <w:t>request begins with the finding that the company’s up-front qualified costs that are permitted to be securitized, as well as certain of the ongoing costs that the company proposes to recover directly through system restoration charges</w:t>
      </w:r>
      <w:r w:rsidR="00F130EE" w:rsidRPr="00BD2206">
        <w:t>,</w:t>
      </w:r>
      <w:r w:rsidRPr="00BD2206">
        <w:t xml:space="preserve"> should be capped.  This finding accords with </w:t>
      </w:r>
      <w:r w:rsidR="00051FDA" w:rsidRPr="00BD2206">
        <w:t>AEP Texas</w:t>
      </w:r>
      <w:r w:rsidRPr="00BD2206">
        <w:t>’ prior securitizations and other securitization proceedings in this state.</w:t>
      </w:r>
    </w:p>
    <w:p w14:paraId="137F65DD" w14:textId="7B3A2F84" w:rsidR="00C5137C" w:rsidRPr="00BD2206" w:rsidRDefault="00C5137C" w:rsidP="00C5137C">
      <w:pPr>
        <w:pStyle w:val="BodyText"/>
        <w:rPr>
          <w:strike/>
        </w:rPr>
      </w:pPr>
      <w:r w:rsidRPr="00BD2206">
        <w:t xml:space="preserve">The Commission finds that </w:t>
      </w:r>
      <w:r w:rsidR="00051FDA" w:rsidRPr="00BD2206">
        <w:t xml:space="preserve">AEP Texas </w:t>
      </w:r>
      <w:r w:rsidRPr="00BD2206">
        <w:t xml:space="preserve">should be permitted to securitize its up-front costs of issuance in accordance with the terms of this Financing Order.  As set forth in Ordering Paragraph 17 of this Financing Order, up-front qualified costs </w:t>
      </w:r>
      <w:r w:rsidR="00EC7F6C" w:rsidRPr="00BD2206">
        <w:t>should not exceed</w:t>
      </w:r>
      <w:r w:rsidRPr="00BD2206">
        <w:t xml:space="preserve"> $</w:t>
      </w:r>
      <w:r w:rsidR="00640C89" w:rsidRPr="00BD2206">
        <w:t>4</w:t>
      </w:r>
      <w:r w:rsidR="0090021D" w:rsidRPr="00BD2206">
        <w:t>.</w:t>
      </w:r>
      <w:r w:rsidR="002A13B9" w:rsidRPr="00BD2206">
        <w:t>4</w:t>
      </w:r>
      <w:r w:rsidR="0090021D" w:rsidRPr="00BD2206">
        <w:t xml:space="preserve"> million</w:t>
      </w:r>
      <w:r w:rsidRPr="00BD2206">
        <w:t xml:space="preserve"> plus (</w:t>
      </w:r>
      <w:r w:rsidR="00EC59B7" w:rsidRPr="00BD2206">
        <w:t>i</w:t>
      </w:r>
      <w:r w:rsidRPr="00BD2206">
        <w:t>) the cost of original issue discount, credit enhancements and other arrangements to enhance marketability as discussed in Ordering Paragraphs 6 and 23, (</w:t>
      </w:r>
      <w:r w:rsidR="00EC59B7" w:rsidRPr="00BD2206">
        <w:t>i</w:t>
      </w:r>
      <w:r w:rsidRPr="00BD2206">
        <w:t xml:space="preserve">i) the cost of the Commission’s financial advisor, if any, and any additional costs incurred by </w:t>
      </w:r>
      <w:r w:rsidR="00051FDA" w:rsidRPr="00BD2206">
        <w:t xml:space="preserve">AEP Texas </w:t>
      </w:r>
      <w:r w:rsidRPr="00BD2206">
        <w:t>to comply with the requests and recommendations of the Commission’s financial advisor, and (i</w:t>
      </w:r>
      <w:r w:rsidR="00EC7F6C" w:rsidRPr="00BD2206">
        <w:t>ii</w:t>
      </w:r>
      <w:r w:rsidRPr="00BD2206">
        <w:t xml:space="preserve">) any costs incurred by </w:t>
      </w:r>
      <w:r w:rsidR="00051FDA" w:rsidRPr="00BD2206">
        <w:t xml:space="preserve">AEP Texas </w:t>
      </w:r>
      <w:r w:rsidRPr="00BD2206">
        <w:t xml:space="preserve">if this Financing Order is appealed.  </w:t>
      </w:r>
      <w:r w:rsidR="00EC7F6C" w:rsidRPr="00BD2206">
        <w:t>However, n</w:t>
      </w:r>
      <w:r w:rsidRPr="00BD2206">
        <w:t>o individual cap will apply to any component of up-front qualified costs included in the $</w:t>
      </w:r>
      <w:r w:rsidR="0090021D" w:rsidRPr="00BD2206">
        <w:t>4.</w:t>
      </w:r>
      <w:r w:rsidR="002A13B9" w:rsidRPr="00BD2206">
        <w:t>4</w:t>
      </w:r>
      <w:r w:rsidR="0090021D" w:rsidRPr="00BD2206">
        <w:t xml:space="preserve"> million </w:t>
      </w:r>
      <w:r w:rsidR="00303967" w:rsidRPr="00BD2206">
        <w:t xml:space="preserve"> </w:t>
      </w:r>
      <w:r w:rsidR="00EC7F6C" w:rsidRPr="00BD2206">
        <w:t>described above</w:t>
      </w:r>
      <w:r w:rsidR="004024D3" w:rsidRPr="00BD2206">
        <w:t>,</w:t>
      </w:r>
      <w:r w:rsidR="00EC7F6C" w:rsidRPr="00BD2206">
        <w:t xml:space="preserve"> and</w:t>
      </w:r>
      <w:r w:rsidR="004024D3" w:rsidRPr="00BD2206">
        <w:t xml:space="preserve"> should actual SEC registration fees</w:t>
      </w:r>
      <w:r w:rsidR="00EA0BCE" w:rsidRPr="00BD2206">
        <w:t>,</w:t>
      </w:r>
      <w:r w:rsidR="004024D3" w:rsidRPr="00BD2206">
        <w:t xml:space="preserve"> underwriters’ fees</w:t>
      </w:r>
      <w:r w:rsidR="00EA0BCE" w:rsidRPr="00BD2206">
        <w:t>, or rating agency fees</w:t>
      </w:r>
      <w:r w:rsidR="004024D3" w:rsidRPr="00BD2206">
        <w:t xml:space="preserve"> exceed the estimates of </w:t>
      </w:r>
      <w:r w:rsidR="004024D3" w:rsidRPr="00BD2206">
        <w:rPr>
          <w:color w:val="000000" w:themeColor="text1"/>
        </w:rPr>
        <w:t>those items stated in Appendix C, AEP</w:t>
      </w:r>
      <w:r w:rsidR="00EC59B7" w:rsidRPr="00BD2206">
        <w:rPr>
          <w:color w:val="000000" w:themeColor="text1"/>
        </w:rPr>
        <w:t xml:space="preserve"> Texas</w:t>
      </w:r>
      <w:r w:rsidR="004024D3" w:rsidRPr="00BD2206">
        <w:rPr>
          <w:color w:val="000000" w:themeColor="text1"/>
        </w:rPr>
        <w:t xml:space="preserve"> is authorized to increase the overall cap to adjust for </w:t>
      </w:r>
      <w:bookmarkStart w:id="270" w:name="_cp_text_1_382"/>
      <w:r w:rsidR="00EC59B7" w:rsidRPr="00BD2206">
        <w:rPr>
          <w:color w:val="000000" w:themeColor="text1"/>
          <w:u w:color="0000FF"/>
        </w:rPr>
        <w:t xml:space="preserve">such increases </w:t>
      </w:r>
      <w:bookmarkStart w:id="271" w:name="_cp_text_1_383"/>
      <w:bookmarkEnd w:id="270"/>
      <w:r w:rsidR="00EC59B7" w:rsidRPr="00BD2206">
        <w:rPr>
          <w:color w:val="000000" w:themeColor="text1"/>
          <w:u w:color="0000FF"/>
        </w:rPr>
        <w:t xml:space="preserve">so long as AEP Texas can demonstrate through the Issuance Advice Letter process that the securitization will continue to satisfy the </w:t>
      </w:r>
      <w:r w:rsidR="00351071" w:rsidRPr="00BD2206">
        <w:rPr>
          <w:color w:val="000000" w:themeColor="text1"/>
          <w:u w:color="0000FF"/>
        </w:rPr>
        <w:t>financial tests</w:t>
      </w:r>
      <w:r w:rsidR="00EC59B7" w:rsidRPr="00BD2206">
        <w:rPr>
          <w:color w:val="000000" w:themeColor="text1"/>
          <w:u w:color="0000FF"/>
        </w:rPr>
        <w:t xml:space="preserve"> set forth in</w:t>
      </w:r>
      <w:r w:rsidR="00EC59B7" w:rsidRPr="00BD2206">
        <w:rPr>
          <w:color w:val="000000" w:themeColor="text1"/>
        </w:rPr>
        <w:t xml:space="preserve"> </w:t>
      </w:r>
      <w:bookmarkStart w:id="272" w:name="_cp_text_1_385"/>
      <w:bookmarkEnd w:id="271"/>
      <w:r w:rsidR="00EC59B7" w:rsidRPr="00BD2206">
        <w:rPr>
          <w:color w:val="000000" w:themeColor="text1"/>
          <w:u w:color="0000FF"/>
        </w:rPr>
        <w:t>PURA</w:t>
      </w:r>
      <w:bookmarkEnd w:id="272"/>
      <w:r w:rsidRPr="00BD2206">
        <w:rPr>
          <w:color w:val="000000" w:themeColor="text1"/>
        </w:rPr>
        <w:t xml:space="preserve">.  In the issuance advice </w:t>
      </w:r>
      <w:r w:rsidRPr="00BD2206">
        <w:t xml:space="preserve">letter </w:t>
      </w:r>
      <w:r w:rsidR="00051FDA" w:rsidRPr="00BD2206">
        <w:t xml:space="preserve">AEP Texas </w:t>
      </w:r>
      <w:r w:rsidRPr="00BD2206">
        <w:t>should report the actual qualified costs securitized.</w:t>
      </w:r>
    </w:p>
    <w:p w14:paraId="19738BFB" w14:textId="056DF13A" w:rsidR="003631D6" w:rsidRPr="00BD2206" w:rsidRDefault="00051FDA" w:rsidP="00051FDA">
      <w:pPr>
        <w:pStyle w:val="BodyText"/>
      </w:pPr>
      <w:r w:rsidRPr="00BD2206">
        <w:t xml:space="preserve">AEP Texas </w:t>
      </w:r>
      <w:r w:rsidR="00C5137C" w:rsidRPr="00BD2206">
        <w:t xml:space="preserve">is authorized to recover directly through the system restoration charges its actual ongoing costs of servicing the bonds and providing administrative services to </w:t>
      </w:r>
      <w:proofErr w:type="spellStart"/>
      <w:r w:rsidR="00C5137C" w:rsidRPr="00BD2206">
        <w:t>BondCo</w:t>
      </w:r>
      <w:proofErr w:type="spellEnd"/>
      <w:r w:rsidR="00C5137C" w:rsidRPr="00BD2206">
        <w:t>, subject to a cap on servicing fees equal to 0.</w:t>
      </w:r>
      <w:r w:rsidR="00924594" w:rsidRPr="00BD2206">
        <w:t>1</w:t>
      </w:r>
      <w:r w:rsidR="00C5137C" w:rsidRPr="00BD2206">
        <w:t xml:space="preserve">0% of the initial principal amount of system restoration bonds issued pursuant to this Financing Order and a cap on administrative fees of $100,000 for each </w:t>
      </w:r>
      <w:proofErr w:type="spellStart"/>
      <w:r w:rsidR="00C5137C" w:rsidRPr="00BD2206">
        <w:t>BondCo</w:t>
      </w:r>
      <w:proofErr w:type="spellEnd"/>
      <w:r w:rsidR="00C5137C" w:rsidRPr="00BD2206">
        <w:t xml:space="preserve"> plus reimbursable third party costs, which will apply as long as </w:t>
      </w:r>
      <w:r w:rsidRPr="00BD2206">
        <w:t xml:space="preserve">AEP Texas </w:t>
      </w:r>
      <w:r w:rsidR="00C5137C" w:rsidRPr="00BD2206">
        <w:t xml:space="preserve">continues to serve as the servicer or administrator, respectively.  Ongoing qualified costs, other than the servicer and administrative fees charged by </w:t>
      </w:r>
      <w:r w:rsidRPr="00BD2206">
        <w:t xml:space="preserve">AEP Texas </w:t>
      </w:r>
      <w:r w:rsidR="00C5137C" w:rsidRPr="00BD2206">
        <w:t xml:space="preserve">when it is the servicer and administrator, are not capped.  They are, however, estimated in Appendix C.  The estimated ongoing qualified costs should be updated in the issuance advice letter to reflect more current information then available to </w:t>
      </w:r>
      <w:r w:rsidRPr="00BD2206">
        <w:t>AEP Texas</w:t>
      </w:r>
      <w:r w:rsidR="00C5137C" w:rsidRPr="00BD2206">
        <w:t xml:space="preserve">.  In accordance with the terms of this Financing Order and subject to the approval of the indenture trustee, the Commission will permit a successor servicer to </w:t>
      </w:r>
      <w:r w:rsidRPr="00BD2206">
        <w:t xml:space="preserve">AEP Texas </w:t>
      </w:r>
      <w:r w:rsidR="00C5137C" w:rsidRPr="00BD2206">
        <w:t xml:space="preserve">to recover a higher servicer fee if </w:t>
      </w:r>
      <w:r w:rsidRPr="00BD2206">
        <w:t xml:space="preserve">AEP Texas </w:t>
      </w:r>
      <w:r w:rsidR="00C5137C" w:rsidRPr="00BD2206">
        <w:t>ceases to service the transition property.</w:t>
      </w:r>
    </w:p>
    <w:p w14:paraId="00CDD49C" w14:textId="56556B81" w:rsidR="003631D6" w:rsidRPr="00BD2206" w:rsidRDefault="00AB3F80" w:rsidP="003631D6">
      <w:pPr>
        <w:pStyle w:val="BodyText"/>
      </w:pPr>
      <w:r w:rsidRPr="00BD2206">
        <w:t>AEP Texas does not anticipate incurring costs of retiring or refunding debt or equity in connection with the use of the proceeds from the issuance of the system restoration bonds.</w:t>
      </w:r>
      <w:r w:rsidRPr="00BD2206">
        <w:rPr>
          <w:rStyle w:val="FootnoteReference"/>
        </w:rPr>
        <w:footnoteReference w:id="51"/>
      </w:r>
      <w:r w:rsidRPr="00BD2206">
        <w:t xml:space="preserve">  </w:t>
      </w:r>
      <w:r w:rsidR="003631D6" w:rsidRPr="00BD2206">
        <w:t xml:space="preserve">However, if costs of retiring or refunding debt are incurred, </w:t>
      </w:r>
      <w:r w:rsidRPr="00BD2206">
        <w:t xml:space="preserve">the Commission notes that the cost of retiring or refunding AEP Texas’ existing debt or equity using the proceeds from the system restoration bonds shall remain uncapped.  Commission experience with these expenses indicates that they vary widely and are not entirely within the company’s control.    </w:t>
      </w:r>
      <w:r w:rsidR="00DA6854" w:rsidRPr="00BD2206">
        <w:t>AEP Texas</w:t>
      </w:r>
      <w:r w:rsidR="003631D6" w:rsidRPr="00BD2206">
        <w:t xml:space="preserve"> should be authorized to record such costs as a regulatory asset included on its books and to accrue carrying costs on such regulatory asset using the average weighted interest rate on the </w:t>
      </w:r>
      <w:r w:rsidR="00051FDA" w:rsidRPr="00BD2206">
        <w:t xml:space="preserve">system restoration </w:t>
      </w:r>
      <w:r w:rsidR="003631D6" w:rsidRPr="00BD2206">
        <w:t xml:space="preserve">bonds, until the costs are included in </w:t>
      </w:r>
      <w:r w:rsidR="00DA6854" w:rsidRPr="00BD2206">
        <w:t>AEP Texas</w:t>
      </w:r>
      <w:r w:rsidR="003631D6" w:rsidRPr="00BD2206">
        <w:t xml:space="preserve">’ next base rate case, and that the costs, together with carrying costs, be considered for recovery in </w:t>
      </w:r>
      <w:r w:rsidR="00DA6854" w:rsidRPr="00BD2206">
        <w:t>AEP Texas</w:t>
      </w:r>
      <w:r w:rsidR="00051FDA" w:rsidRPr="00BD2206">
        <w:t>’</w:t>
      </w:r>
      <w:r w:rsidR="003631D6" w:rsidRPr="00BD2206">
        <w:t xml:space="preserve"> next base rate case, subject to a showing that such costs were prudently incurred and are reasonable and necessary.</w:t>
      </w:r>
    </w:p>
    <w:p w14:paraId="73620F87" w14:textId="77777777" w:rsidR="003631D6" w:rsidRPr="00BD2206" w:rsidRDefault="00B42FAC" w:rsidP="00B42FAC">
      <w:pPr>
        <w:pStyle w:val="Heading1"/>
      </w:pPr>
      <w:bookmarkStart w:id="273" w:name="_Toc158028381"/>
      <w:bookmarkStart w:id="274" w:name="_Toc97535650"/>
      <w:bookmarkStart w:id="275" w:name="_Toc177539434"/>
      <w:bookmarkEnd w:id="269"/>
      <w:r w:rsidRPr="00BD2206">
        <w:t xml:space="preserve">  </w:t>
      </w:r>
      <w:bookmarkStart w:id="276" w:name="_Toc2778486"/>
      <w:r w:rsidR="00F56DCC" w:rsidRPr="00BD2206">
        <w:t>F</w:t>
      </w:r>
      <w:bookmarkEnd w:id="273"/>
      <w:r w:rsidR="00F56DCC" w:rsidRPr="00BD2206">
        <w:t>indings of Fact</w:t>
      </w:r>
      <w:bookmarkEnd w:id="223"/>
      <w:bookmarkEnd w:id="224"/>
      <w:bookmarkEnd w:id="225"/>
      <w:bookmarkEnd w:id="226"/>
      <w:bookmarkEnd w:id="227"/>
      <w:bookmarkEnd w:id="228"/>
      <w:bookmarkEnd w:id="229"/>
      <w:bookmarkEnd w:id="230"/>
      <w:bookmarkEnd w:id="231"/>
      <w:bookmarkEnd w:id="232"/>
      <w:bookmarkEnd w:id="233"/>
      <w:bookmarkEnd w:id="274"/>
      <w:bookmarkEnd w:id="275"/>
      <w:bookmarkEnd w:id="276"/>
    </w:p>
    <w:p w14:paraId="13FAAA5A" w14:textId="77777777" w:rsidR="003631D6" w:rsidRPr="00BD2206" w:rsidRDefault="00B42FAC" w:rsidP="00B42FAC">
      <w:pPr>
        <w:pStyle w:val="Heading2"/>
      </w:pPr>
      <w:bookmarkStart w:id="277" w:name="_Toc88378129"/>
      <w:bookmarkStart w:id="278" w:name="_Toc88379101"/>
      <w:bookmarkStart w:id="279" w:name="_Toc88379323"/>
      <w:bookmarkStart w:id="280" w:name="_Toc88379543"/>
      <w:bookmarkStart w:id="281" w:name="_Toc88379761"/>
      <w:bookmarkStart w:id="282" w:name="_Toc88379949"/>
      <w:bookmarkStart w:id="283" w:name="_Toc88380132"/>
      <w:bookmarkStart w:id="284" w:name="_Toc88380262"/>
      <w:bookmarkStart w:id="285" w:name="_Toc88380419"/>
      <w:bookmarkStart w:id="286" w:name="_Toc88380511"/>
      <w:bookmarkStart w:id="287" w:name="_Toc88380603"/>
      <w:bookmarkStart w:id="288" w:name="_Toc97535651"/>
      <w:bookmarkStart w:id="289" w:name="_Toc158028382"/>
      <w:bookmarkStart w:id="290" w:name="_Toc177539435"/>
      <w:r w:rsidRPr="00BD2206">
        <w:t xml:space="preserve">  </w:t>
      </w:r>
      <w:bookmarkStart w:id="291" w:name="_Toc2778487"/>
      <w:r w:rsidR="003631D6" w:rsidRPr="00BD2206">
        <w:t>Identification and Procedure</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12660AE7" w14:textId="77777777" w:rsidR="003631D6" w:rsidRPr="00BD2206" w:rsidRDefault="003631D6" w:rsidP="00B42FAC">
      <w:pPr>
        <w:pStyle w:val="Heading3"/>
      </w:pPr>
      <w:bookmarkStart w:id="292" w:name="_Toc88378130"/>
      <w:bookmarkStart w:id="293" w:name="_Toc88379102"/>
      <w:bookmarkStart w:id="294" w:name="_Toc88379324"/>
      <w:bookmarkStart w:id="295" w:name="_Toc88379544"/>
      <w:bookmarkStart w:id="296" w:name="_Toc88379762"/>
      <w:bookmarkStart w:id="297" w:name="_Toc88379950"/>
      <w:bookmarkStart w:id="298" w:name="_Toc88380133"/>
      <w:bookmarkStart w:id="299" w:name="_Toc88380263"/>
      <w:bookmarkStart w:id="300" w:name="_Toc88380420"/>
      <w:bookmarkStart w:id="301" w:name="_Toc88380512"/>
      <w:bookmarkStart w:id="302" w:name="_Toc88380604"/>
      <w:bookmarkStart w:id="303" w:name="_Toc97535652"/>
      <w:bookmarkStart w:id="304" w:name="_Toc158028383"/>
      <w:bookmarkStart w:id="305" w:name="_Toc177539436"/>
      <w:bookmarkStart w:id="306" w:name="_Toc2778488"/>
      <w:r w:rsidRPr="00BD2206">
        <w:t>Identification of Applicant and Background</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6FBCE8FA" w14:textId="3FB55EDB" w:rsidR="003631D6" w:rsidRPr="00BD2206" w:rsidRDefault="003631D6" w:rsidP="00B42FAC">
      <w:pPr>
        <w:pStyle w:val="FOFNumbered"/>
        <w:rPr>
          <w:szCs w:val="24"/>
        </w:rPr>
      </w:pPr>
      <w:r w:rsidRPr="00BD2206">
        <w:rPr>
          <w:szCs w:val="24"/>
        </w:rPr>
        <w:t xml:space="preserve">AEP Texas </w:t>
      </w:r>
      <w:r w:rsidR="00D213B6" w:rsidRPr="00BD2206">
        <w:rPr>
          <w:szCs w:val="24"/>
        </w:rPr>
        <w:t>Inc.</w:t>
      </w:r>
      <w:r w:rsidRPr="00BD2206">
        <w:rPr>
          <w:szCs w:val="24"/>
        </w:rPr>
        <w:t xml:space="preserve"> (</w:t>
      </w:r>
      <w:r w:rsidR="00DA6854" w:rsidRPr="00BD2206">
        <w:rPr>
          <w:szCs w:val="24"/>
        </w:rPr>
        <w:t>AEP Texas</w:t>
      </w:r>
      <w:r w:rsidRPr="00BD2206">
        <w:rPr>
          <w:szCs w:val="24"/>
        </w:rPr>
        <w:t xml:space="preserve">) </w:t>
      </w:r>
      <w:r w:rsidRPr="00BD2206">
        <w:t xml:space="preserve">is a transmission and distribution utility which owns and operates for compensation an extensive </w:t>
      </w:r>
      <w:r w:rsidRPr="00BD2206">
        <w:rPr>
          <w:szCs w:val="24"/>
        </w:rPr>
        <w:t>transmission</w:t>
      </w:r>
      <w:r w:rsidRPr="00BD2206">
        <w:t xml:space="preserve"> and distribution network to provide electric service in the portion of this state which is included in the Electric Reliability Council of Texas (ERCOT).  </w:t>
      </w:r>
      <w:r w:rsidR="00DA6854" w:rsidRPr="00BD2206">
        <w:rPr>
          <w:szCs w:val="24"/>
        </w:rPr>
        <w:t>AEP Texas</w:t>
      </w:r>
      <w:r w:rsidRPr="00BD2206">
        <w:rPr>
          <w:szCs w:val="24"/>
        </w:rPr>
        <w:t xml:space="preserve"> </w:t>
      </w:r>
      <w:r w:rsidRPr="00BD2206">
        <w:t>is a</w:t>
      </w:r>
      <w:r w:rsidR="00BE4A6E" w:rsidRPr="00BD2206">
        <w:t xml:space="preserve"> </w:t>
      </w:r>
      <w:r w:rsidRPr="00BD2206">
        <w:t>direct wholly-owned subsidiary of American Electric Power Company, Inc., which is a public utility holding company under the Public Utility Holding Company Act of 2005.</w:t>
      </w:r>
    </w:p>
    <w:p w14:paraId="7C71B7D7" w14:textId="3E3863C6" w:rsidR="00084FD4" w:rsidRPr="00BD2206" w:rsidRDefault="00084FD4" w:rsidP="00084FD4">
      <w:pPr>
        <w:pStyle w:val="FOFNumbered"/>
        <w:rPr>
          <w:szCs w:val="24"/>
        </w:rPr>
      </w:pPr>
      <w:r w:rsidRPr="00BD2206">
        <w:rPr>
          <w:szCs w:val="24"/>
        </w:rPr>
        <w:t>Effective December 31, 2016, AEP Texas Central Company and AEP Texas North Company merged into their direct parent company, AEP Utilities, Inc., and name</w:t>
      </w:r>
      <w:r w:rsidR="00BB0DB3" w:rsidRPr="00BD2206">
        <w:rPr>
          <w:szCs w:val="24"/>
        </w:rPr>
        <w:t>d</w:t>
      </w:r>
      <w:r w:rsidRPr="00BD2206">
        <w:rPr>
          <w:szCs w:val="24"/>
        </w:rPr>
        <w:t xml:space="preserve"> the merged company AEP Texas.  AEP Texas maintains North and Central Divisions with separate rates.  This financing order affects only the AEP Texas Central Division</w:t>
      </w:r>
      <w:r w:rsidR="00946957" w:rsidRPr="00BD2206">
        <w:rPr>
          <w:snapToGrid/>
          <w:color w:val="0000FF"/>
          <w:szCs w:val="24"/>
          <w:u w:color="0000FF"/>
        </w:rPr>
        <w:t xml:space="preserve"> </w:t>
      </w:r>
      <w:r w:rsidR="00946957" w:rsidRPr="00BD2206">
        <w:rPr>
          <w:szCs w:val="24"/>
        </w:rPr>
        <w:t xml:space="preserve">and all references to </w:t>
      </w:r>
      <w:r w:rsidR="00A0653C" w:rsidRPr="00BD2206">
        <w:rPr>
          <w:szCs w:val="24"/>
        </w:rPr>
        <w:t>ratepayers</w:t>
      </w:r>
      <w:r w:rsidR="00802A44" w:rsidRPr="00BD2206">
        <w:rPr>
          <w:szCs w:val="24"/>
        </w:rPr>
        <w:t xml:space="preserve"> or </w:t>
      </w:r>
      <w:r w:rsidR="00824E79" w:rsidRPr="00BD2206">
        <w:rPr>
          <w:szCs w:val="24"/>
        </w:rPr>
        <w:t xml:space="preserve">retail customers </w:t>
      </w:r>
      <w:r w:rsidR="00946957" w:rsidRPr="00BD2206">
        <w:rPr>
          <w:szCs w:val="24"/>
        </w:rPr>
        <w:t xml:space="preserve">in this order should be interpreted to mean </w:t>
      </w:r>
      <w:r w:rsidR="00A0653C" w:rsidRPr="00BD2206">
        <w:rPr>
          <w:szCs w:val="24"/>
        </w:rPr>
        <w:t>ratepayers</w:t>
      </w:r>
      <w:r w:rsidR="00802A44" w:rsidRPr="00BD2206">
        <w:rPr>
          <w:szCs w:val="24"/>
        </w:rPr>
        <w:t xml:space="preserve"> or </w:t>
      </w:r>
      <w:r w:rsidR="00824E79" w:rsidRPr="00BD2206">
        <w:rPr>
          <w:szCs w:val="24"/>
        </w:rPr>
        <w:t xml:space="preserve">retail customers </w:t>
      </w:r>
      <w:r w:rsidR="00216928" w:rsidRPr="00BD2206">
        <w:rPr>
          <w:szCs w:val="24"/>
        </w:rPr>
        <w:t>located with</w:t>
      </w:r>
      <w:r w:rsidR="00946957" w:rsidRPr="00BD2206">
        <w:rPr>
          <w:szCs w:val="24"/>
        </w:rPr>
        <w:t>in the AEP Texas Central Division</w:t>
      </w:r>
      <w:r w:rsidR="00216928" w:rsidRPr="00BD2206">
        <w:rPr>
          <w:szCs w:val="24"/>
        </w:rPr>
        <w:t xml:space="preserve"> service area</w:t>
      </w:r>
      <w:r w:rsidRPr="00BD2206">
        <w:rPr>
          <w:szCs w:val="24"/>
        </w:rPr>
        <w:t>.</w:t>
      </w:r>
    </w:p>
    <w:p w14:paraId="3D42AD57" w14:textId="3A815484" w:rsidR="003631D6" w:rsidRPr="00BD2206" w:rsidRDefault="00D33467" w:rsidP="00B42FAC">
      <w:pPr>
        <w:pStyle w:val="FOFNumbered"/>
        <w:rPr>
          <w:szCs w:val="24"/>
        </w:rPr>
      </w:pPr>
      <w:r w:rsidRPr="00BD2206">
        <w:rPr>
          <w:szCs w:val="24"/>
        </w:rPr>
        <w:t xml:space="preserve">Hurricane Harvey struck the Central Division of AEP Texas on August 25, 2017, causing extensive damage to </w:t>
      </w:r>
      <w:r w:rsidR="00084FD4" w:rsidRPr="00BD2206">
        <w:rPr>
          <w:szCs w:val="24"/>
        </w:rPr>
        <w:t>its</w:t>
      </w:r>
      <w:r w:rsidRPr="00BD2206">
        <w:rPr>
          <w:szCs w:val="24"/>
        </w:rPr>
        <w:t xml:space="preserve"> system and widespread electric outages</w:t>
      </w:r>
      <w:r w:rsidR="003631D6" w:rsidRPr="00BD2206">
        <w:rPr>
          <w:szCs w:val="24"/>
        </w:rPr>
        <w:t>.</w:t>
      </w:r>
    </w:p>
    <w:p w14:paraId="4200B973" w14:textId="77777777" w:rsidR="003631D6" w:rsidRPr="00BD2206" w:rsidRDefault="00D33467" w:rsidP="00B42FAC">
      <w:pPr>
        <w:pStyle w:val="FOFNumbered"/>
        <w:tabs>
          <w:tab w:val="left" w:pos="720"/>
        </w:tabs>
        <w:rPr>
          <w:szCs w:val="24"/>
        </w:rPr>
      </w:pPr>
      <w:r w:rsidRPr="00BD2206">
        <w:rPr>
          <w:szCs w:val="24"/>
        </w:rPr>
        <w:t xml:space="preserve">On August 7, 2018, AEP Texas filed an application pursuant to PURA § 36.405 for determination of the amount of system restoration costs </w:t>
      </w:r>
      <w:r w:rsidR="00224070" w:rsidRPr="00BD2206">
        <w:rPr>
          <w:szCs w:val="24"/>
        </w:rPr>
        <w:t xml:space="preserve">related to Hurricane Harvey and certain other weather-related events, </w:t>
      </w:r>
      <w:r w:rsidRPr="00BD2206">
        <w:rPr>
          <w:szCs w:val="24"/>
        </w:rPr>
        <w:t>eligible for securitization or other recovery.  That application was assigned Docket No. 48577</w:t>
      </w:r>
      <w:r w:rsidR="003631D6" w:rsidRPr="00BD2206">
        <w:rPr>
          <w:szCs w:val="24"/>
        </w:rPr>
        <w:t>.</w:t>
      </w:r>
    </w:p>
    <w:p w14:paraId="30D73843" w14:textId="5CF59A12" w:rsidR="003631D6" w:rsidRPr="00BD2206" w:rsidRDefault="003631D6" w:rsidP="00B42FAC">
      <w:pPr>
        <w:pStyle w:val="FOFNumbered"/>
        <w:rPr>
          <w:szCs w:val="24"/>
        </w:rPr>
      </w:pPr>
      <w:r w:rsidRPr="00BD2206">
        <w:rPr>
          <w:szCs w:val="24"/>
        </w:rPr>
        <w:t xml:space="preserve">On </w:t>
      </w:r>
      <w:r w:rsidR="00492A8C">
        <w:rPr>
          <w:szCs w:val="24"/>
        </w:rPr>
        <w:t>February 28, 2019</w:t>
      </w:r>
      <w:r w:rsidR="00E02564" w:rsidRPr="00BD2206">
        <w:rPr>
          <w:szCs w:val="24"/>
        </w:rPr>
        <w:t xml:space="preserve"> </w:t>
      </w:r>
      <w:r w:rsidR="00FA50B5" w:rsidRPr="00BD2206">
        <w:rPr>
          <w:szCs w:val="24"/>
        </w:rPr>
        <w:t>the Commission issued the order approving the settlement in Docket No. 48577 and determining that AEP Texas’ system restoration costs eligible for securitization or other recovery were $</w:t>
      </w:r>
      <w:r w:rsidR="00CD4CAC" w:rsidRPr="00BD2206">
        <w:rPr>
          <w:szCs w:val="24"/>
        </w:rPr>
        <w:t>369,230,601</w:t>
      </w:r>
      <w:r w:rsidR="00492A8C" w:rsidRPr="00BD2206">
        <w:rPr>
          <w:szCs w:val="24"/>
        </w:rPr>
        <w:t>, of</w:t>
      </w:r>
      <w:r w:rsidR="00FA50B5" w:rsidRPr="00BD2206">
        <w:rPr>
          <w:szCs w:val="24"/>
        </w:rPr>
        <w:t xml:space="preserve"> which $261,534,554 was related to the distribution function.  The order provides that </w:t>
      </w:r>
      <w:r w:rsidR="00454989" w:rsidRPr="00BD2206">
        <w:rPr>
          <w:szCs w:val="24"/>
        </w:rPr>
        <w:t xml:space="preserve">AEP Texas </w:t>
      </w:r>
      <w:r w:rsidR="00FA50B5" w:rsidRPr="00BD2206">
        <w:rPr>
          <w:szCs w:val="24"/>
        </w:rPr>
        <w:t xml:space="preserve">is entitled to recover carrying costs </w:t>
      </w:r>
      <w:r w:rsidR="00CD4CAC" w:rsidRPr="00BD2206">
        <w:rPr>
          <w:szCs w:val="24"/>
        </w:rPr>
        <w:t xml:space="preserve">on Hurricane Harvey-related system restoration costs </w:t>
      </w:r>
      <w:r w:rsidR="00FA50B5" w:rsidRPr="00BD2206">
        <w:rPr>
          <w:szCs w:val="24"/>
        </w:rPr>
        <w:t xml:space="preserve">according to the methodology approved </w:t>
      </w:r>
      <w:r w:rsidR="00C524C5" w:rsidRPr="00BD2206">
        <w:rPr>
          <w:szCs w:val="24"/>
        </w:rPr>
        <w:t>i</w:t>
      </w:r>
      <w:r w:rsidR="00FA50B5" w:rsidRPr="00BD2206">
        <w:rPr>
          <w:szCs w:val="24"/>
        </w:rPr>
        <w:t>n Docket No. 48577</w:t>
      </w:r>
      <w:r w:rsidRPr="00BD2206">
        <w:rPr>
          <w:szCs w:val="24"/>
        </w:rPr>
        <w:t>.</w:t>
      </w:r>
    </w:p>
    <w:p w14:paraId="4B9620C1" w14:textId="77777777" w:rsidR="003631D6" w:rsidRPr="00BD2206" w:rsidRDefault="003631D6" w:rsidP="00B42FAC">
      <w:pPr>
        <w:pStyle w:val="Heading3"/>
      </w:pPr>
      <w:bookmarkStart w:id="307" w:name="_Toc88378131"/>
      <w:bookmarkStart w:id="308" w:name="_Toc88379103"/>
      <w:bookmarkStart w:id="309" w:name="_Toc88379325"/>
      <w:bookmarkStart w:id="310" w:name="_Toc88379545"/>
      <w:bookmarkStart w:id="311" w:name="_Toc88379763"/>
      <w:bookmarkStart w:id="312" w:name="_Toc88379951"/>
      <w:bookmarkStart w:id="313" w:name="_Toc88380134"/>
      <w:bookmarkStart w:id="314" w:name="_Toc88380264"/>
      <w:bookmarkStart w:id="315" w:name="_Toc88380421"/>
      <w:bookmarkStart w:id="316" w:name="_Toc88380513"/>
      <w:bookmarkStart w:id="317" w:name="_Toc88380605"/>
      <w:bookmarkStart w:id="318" w:name="_Toc97535653"/>
      <w:bookmarkStart w:id="319" w:name="_Toc158028384"/>
      <w:bookmarkStart w:id="320" w:name="_Toc177539437"/>
      <w:bookmarkStart w:id="321" w:name="_Toc2778489"/>
      <w:r w:rsidRPr="00BD2206">
        <w:t>Procedural History</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597371B7" w14:textId="08588961" w:rsidR="003631D6" w:rsidRPr="00BD2206" w:rsidRDefault="00FA50B5" w:rsidP="003631D6">
      <w:pPr>
        <w:pStyle w:val="FOFNumbered"/>
        <w:tabs>
          <w:tab w:val="left" w:pos="720"/>
        </w:tabs>
        <w:rPr>
          <w:szCs w:val="24"/>
        </w:rPr>
      </w:pPr>
      <w:bookmarkStart w:id="322" w:name="_Toc83701865"/>
      <w:bookmarkStart w:id="323" w:name="_Toc83703715"/>
      <w:r w:rsidRPr="00BD2206">
        <w:rPr>
          <w:szCs w:val="24"/>
        </w:rPr>
        <w:t xml:space="preserve">On ________, AEP Texas filed an application for a financing order under Subchapter I of Chapter 36 and Subchapter G of Chapter 39 of PURA to permit securitization of </w:t>
      </w:r>
      <w:r w:rsidR="00946957" w:rsidRPr="00BD2206">
        <w:rPr>
          <w:szCs w:val="24"/>
        </w:rPr>
        <w:t xml:space="preserve">an amount equal to the sum of </w:t>
      </w:r>
      <w:r w:rsidRPr="00BD2206">
        <w:rPr>
          <w:szCs w:val="24"/>
        </w:rPr>
        <w:t xml:space="preserve">(1) the </w:t>
      </w:r>
      <w:proofErr w:type="spellStart"/>
      <w:r w:rsidRPr="00BD2206">
        <w:rPr>
          <w:szCs w:val="24"/>
        </w:rPr>
        <w:t>Securitizable</w:t>
      </w:r>
      <w:proofErr w:type="spellEnd"/>
      <w:r w:rsidRPr="00BD2206">
        <w:rPr>
          <w:szCs w:val="24"/>
        </w:rPr>
        <w:t xml:space="preserve"> Balance as of the date of issuance of the system restoration bonds</w:t>
      </w:r>
      <w:r w:rsidR="004B199E" w:rsidRPr="00BD2206">
        <w:rPr>
          <w:szCs w:val="24"/>
        </w:rPr>
        <w:t>,</w:t>
      </w:r>
      <w:r w:rsidRPr="00BD2206">
        <w:rPr>
          <w:szCs w:val="24"/>
        </w:rPr>
        <w:t xml:space="preserve"> plus (2) up-front qualified costs.  The application includes exhibits, schedules, attachments, and testimony</w:t>
      </w:r>
      <w:r w:rsidR="003631D6" w:rsidRPr="00BD2206">
        <w:rPr>
          <w:szCs w:val="24"/>
        </w:rPr>
        <w:t>.</w:t>
      </w:r>
    </w:p>
    <w:p w14:paraId="3CDE5F02" w14:textId="77777777" w:rsidR="003631D6" w:rsidRPr="00BD2206" w:rsidRDefault="003631D6" w:rsidP="003631D6">
      <w:pPr>
        <w:pStyle w:val="FOFNumbered"/>
        <w:rPr>
          <w:szCs w:val="24"/>
        </w:rPr>
      </w:pPr>
      <w:r w:rsidRPr="00BD2206">
        <w:rPr>
          <w:szCs w:val="24"/>
        </w:rPr>
        <w:t xml:space="preserve">An intervention deadline of </w:t>
      </w:r>
      <w:r w:rsidR="004B199E" w:rsidRPr="00BD2206">
        <w:rPr>
          <w:szCs w:val="24"/>
        </w:rPr>
        <w:t>_____________</w:t>
      </w:r>
      <w:r w:rsidRPr="00BD2206">
        <w:rPr>
          <w:szCs w:val="24"/>
        </w:rPr>
        <w:t xml:space="preserve"> was establish</w:t>
      </w:r>
      <w:r w:rsidR="00B42FAC" w:rsidRPr="00BD2206">
        <w:rPr>
          <w:szCs w:val="24"/>
        </w:rPr>
        <w:t xml:space="preserve">ed by order issued on </w:t>
      </w:r>
      <w:r w:rsidR="004B199E" w:rsidRPr="00BD2206">
        <w:rPr>
          <w:szCs w:val="24"/>
        </w:rPr>
        <w:t>_____________</w:t>
      </w:r>
      <w:r w:rsidRPr="00BD2206">
        <w:rPr>
          <w:szCs w:val="24"/>
        </w:rPr>
        <w:t>.</w:t>
      </w:r>
    </w:p>
    <w:p w14:paraId="39EFAE49" w14:textId="419ADF6B" w:rsidR="003631D6" w:rsidRPr="00BD2206" w:rsidRDefault="003540D9" w:rsidP="003631D6">
      <w:pPr>
        <w:pStyle w:val="FOFNumbered"/>
        <w:rPr>
          <w:szCs w:val="24"/>
        </w:rPr>
      </w:pPr>
      <w:r w:rsidRPr="00BD2206">
        <w:rPr>
          <w:szCs w:val="24"/>
        </w:rPr>
        <w:t xml:space="preserve">The following parties requested and were granted intervention: </w:t>
      </w:r>
      <w:r w:rsidR="004B199E" w:rsidRPr="00BD2206">
        <w:rPr>
          <w:szCs w:val="24"/>
        </w:rPr>
        <w:t>_________________</w:t>
      </w:r>
      <w:r w:rsidR="003631D6" w:rsidRPr="00BD2206">
        <w:rPr>
          <w:szCs w:val="24"/>
        </w:rPr>
        <w:t>.</w:t>
      </w:r>
      <w:r w:rsidR="00997A32" w:rsidRPr="00BD2206">
        <w:rPr>
          <w:szCs w:val="24"/>
        </w:rPr>
        <w:t xml:space="preserve">  Commission Staff also participated as a party in the proceeding.</w:t>
      </w:r>
    </w:p>
    <w:p w14:paraId="3AFE0933" w14:textId="61C92FED" w:rsidR="003631D6" w:rsidRPr="00BD2206" w:rsidRDefault="003631D6" w:rsidP="003631D6">
      <w:pPr>
        <w:pStyle w:val="FOFNumbered"/>
        <w:rPr>
          <w:rStyle w:val="BodyTextChar"/>
          <w:szCs w:val="24"/>
        </w:rPr>
      </w:pPr>
      <w:bookmarkStart w:id="324" w:name="_Toc83701870"/>
      <w:bookmarkStart w:id="325" w:name="_Toc83703720"/>
      <w:bookmarkEnd w:id="322"/>
      <w:bookmarkEnd w:id="323"/>
      <w:r w:rsidRPr="00BD2206">
        <w:rPr>
          <w:szCs w:val="24"/>
        </w:rPr>
        <w:t xml:space="preserve">On </w:t>
      </w:r>
      <w:r w:rsidR="004B199E" w:rsidRPr="00BD2206">
        <w:rPr>
          <w:szCs w:val="24"/>
        </w:rPr>
        <w:t>______</w:t>
      </w:r>
      <w:r w:rsidRPr="00BD2206">
        <w:rPr>
          <w:szCs w:val="24"/>
        </w:rPr>
        <w:t xml:space="preserve">, in open meeting, the Commission deliberated on the merits of </w:t>
      </w:r>
      <w:r w:rsidR="00DA6854" w:rsidRPr="00BD2206">
        <w:rPr>
          <w:szCs w:val="24"/>
        </w:rPr>
        <w:t>AEP Texas</w:t>
      </w:r>
      <w:r w:rsidR="004B199E" w:rsidRPr="00BD2206">
        <w:t>’</w:t>
      </w:r>
      <w:r w:rsidRPr="00BD2206">
        <w:rPr>
          <w:szCs w:val="24"/>
        </w:rPr>
        <w:t xml:space="preserve"> </w:t>
      </w:r>
      <w:r w:rsidRPr="00BD2206">
        <w:t>application and rendered its final order which:  (a) approved the securitization of</w:t>
      </w:r>
      <w:r w:rsidRPr="00BD2206">
        <w:rPr>
          <w:rStyle w:val="BodyTextChar"/>
        </w:rPr>
        <w:t xml:space="preserve"> the</w:t>
      </w:r>
      <w:r w:rsidRPr="00BD2206">
        <w:t xml:space="preserve"> </w:t>
      </w:r>
      <w:proofErr w:type="spellStart"/>
      <w:r w:rsidRPr="00BD2206">
        <w:t>Securitizable</w:t>
      </w:r>
      <w:proofErr w:type="spellEnd"/>
      <w:r w:rsidRPr="00BD2206">
        <w:t xml:space="preserve"> Balance of $</w:t>
      </w:r>
      <w:r w:rsidR="00492A8C">
        <w:t>224.9</w:t>
      </w:r>
      <w:r w:rsidRPr="00BD2206">
        <w:t xml:space="preserve"> million</w:t>
      </w:r>
      <w:r w:rsidR="002459F1" w:rsidRPr="00BD2206">
        <w:t xml:space="preserve"> and other up-front qualified costs</w:t>
      </w:r>
      <w:r w:rsidRPr="00BD2206">
        <w:t xml:space="preserve">; (b) authorized the issuance of </w:t>
      </w:r>
      <w:r w:rsidR="004B199E" w:rsidRPr="00BD2206">
        <w:t>sy</w:t>
      </w:r>
      <w:r w:rsidR="004B199E" w:rsidRPr="00BD2206">
        <w:rPr>
          <w:rStyle w:val="BodyTextChar"/>
        </w:rPr>
        <w:t>stem restoration</w:t>
      </w:r>
      <w:r w:rsidRPr="00BD2206">
        <w:rPr>
          <w:rStyle w:val="BodyTextChar"/>
        </w:rPr>
        <w:t xml:space="preserve"> bonds in one or more series in an aggregate principal amount not to exceed the</w:t>
      </w:r>
      <w:r w:rsidR="00946957" w:rsidRPr="00BD2206">
        <w:rPr>
          <w:rStyle w:val="BodyTextChar"/>
        </w:rPr>
        <w:t xml:space="preserve"> sum of (i) the</w:t>
      </w:r>
      <w:r w:rsidRPr="00BD2206">
        <w:rPr>
          <w:szCs w:val="24"/>
        </w:rPr>
        <w:t xml:space="preserve"> </w:t>
      </w:r>
      <w:proofErr w:type="spellStart"/>
      <w:r w:rsidRPr="00BD2206">
        <w:rPr>
          <w:szCs w:val="24"/>
        </w:rPr>
        <w:t>Securitizable</w:t>
      </w:r>
      <w:proofErr w:type="spellEnd"/>
      <w:r w:rsidRPr="00BD2206">
        <w:rPr>
          <w:szCs w:val="24"/>
        </w:rPr>
        <w:t xml:space="preserve"> Balance</w:t>
      </w:r>
      <w:r w:rsidR="00946957" w:rsidRPr="00BD2206">
        <w:rPr>
          <w:rStyle w:val="BodyTextChar"/>
        </w:rPr>
        <w:t xml:space="preserve"> plus (ii) certain up-front qualified costs as described herein;</w:t>
      </w:r>
      <w:r w:rsidRPr="00BD2206">
        <w:rPr>
          <w:rStyle w:val="BodyTextChar"/>
        </w:rPr>
        <w:t xml:space="preserve"> (c) approved the structure of the proposed securitization financing</w:t>
      </w:r>
      <w:r w:rsidR="00216928" w:rsidRPr="00BD2206">
        <w:rPr>
          <w:rStyle w:val="BodyTextChar"/>
        </w:rPr>
        <w:t xml:space="preserve"> and issuance of system restoration bonds</w:t>
      </w:r>
      <w:r w:rsidRPr="00BD2206">
        <w:rPr>
          <w:rStyle w:val="BodyTextChar"/>
        </w:rPr>
        <w:t xml:space="preserve">; (d) approved </w:t>
      </w:r>
      <w:r w:rsidR="004B199E" w:rsidRPr="00BD2206">
        <w:rPr>
          <w:snapToGrid/>
        </w:rPr>
        <w:t xml:space="preserve">system restoration </w:t>
      </w:r>
      <w:r w:rsidRPr="00BD2206">
        <w:rPr>
          <w:rStyle w:val="BodyTextChar"/>
        </w:rPr>
        <w:t xml:space="preserve">charges in an amount to be calculated as provided in this Financing Order; (e) approved the form of tariff as provided in this Financing Order to implement those </w:t>
      </w:r>
      <w:r w:rsidR="004B199E" w:rsidRPr="00BD2206">
        <w:rPr>
          <w:snapToGrid/>
        </w:rPr>
        <w:t xml:space="preserve">system restoration </w:t>
      </w:r>
      <w:r w:rsidRPr="00BD2206">
        <w:rPr>
          <w:rStyle w:val="BodyTextChar"/>
        </w:rPr>
        <w:t>charges</w:t>
      </w:r>
      <w:r w:rsidR="00CE4AB0" w:rsidRPr="00BD2206">
        <w:rPr>
          <w:rStyle w:val="BodyTextChar"/>
        </w:rPr>
        <w:t>; and (f) approved a credit rider for the purpose of providing to ratepayers the benefits of ADFIT associated with system restoration costs</w:t>
      </w:r>
      <w:r w:rsidRPr="00BD2206">
        <w:rPr>
          <w:rStyle w:val="BodyTextChar"/>
        </w:rPr>
        <w:t>.</w:t>
      </w:r>
    </w:p>
    <w:p w14:paraId="3EB3CBD5" w14:textId="77777777" w:rsidR="003631D6" w:rsidRPr="00BD2206" w:rsidRDefault="003631D6" w:rsidP="003631D6">
      <w:pPr>
        <w:pStyle w:val="Heading3"/>
      </w:pPr>
      <w:bookmarkStart w:id="326" w:name="_Toc88378132"/>
      <w:bookmarkStart w:id="327" w:name="_Toc88379104"/>
      <w:bookmarkStart w:id="328" w:name="_Toc88379326"/>
      <w:bookmarkStart w:id="329" w:name="_Toc88379546"/>
      <w:bookmarkStart w:id="330" w:name="_Toc88379764"/>
      <w:bookmarkStart w:id="331" w:name="_Toc88379952"/>
      <w:bookmarkStart w:id="332" w:name="_Toc88380135"/>
      <w:bookmarkStart w:id="333" w:name="_Toc88380265"/>
      <w:bookmarkStart w:id="334" w:name="_Toc88380422"/>
      <w:bookmarkStart w:id="335" w:name="_Toc88380514"/>
      <w:bookmarkStart w:id="336" w:name="_Toc88380606"/>
      <w:bookmarkStart w:id="337" w:name="_Toc97535654"/>
      <w:bookmarkStart w:id="338" w:name="_Toc158028385"/>
      <w:bookmarkStart w:id="339" w:name="_Toc177539438"/>
      <w:bookmarkStart w:id="340" w:name="_Toc2778490"/>
      <w:bookmarkEnd w:id="324"/>
      <w:bookmarkEnd w:id="325"/>
      <w:r w:rsidRPr="00BD2206">
        <w:t>Notice of Application</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129F9036" w14:textId="2F6656E9" w:rsidR="003631D6" w:rsidRPr="00BD2206" w:rsidRDefault="003631D6" w:rsidP="003631D6">
      <w:pPr>
        <w:pStyle w:val="FOFNumbered"/>
      </w:pPr>
      <w:bookmarkStart w:id="341" w:name="_Toc83701871"/>
      <w:bookmarkStart w:id="342" w:name="_Toc83703722"/>
      <w:r w:rsidRPr="00BD2206">
        <w:t xml:space="preserve">Notice of </w:t>
      </w:r>
      <w:r w:rsidR="00DA6854" w:rsidRPr="00BD2206">
        <w:t>AEP Texas</w:t>
      </w:r>
      <w:r w:rsidRPr="00BD2206">
        <w:t xml:space="preserve">’ application was provided through publication once a week for two consecutive weeks in newspapers having general circulation in </w:t>
      </w:r>
      <w:r w:rsidR="00DA6854" w:rsidRPr="00BD2206">
        <w:t>AEP Texas</w:t>
      </w:r>
      <w:r w:rsidRPr="00BD2206">
        <w:t xml:space="preserve">’ </w:t>
      </w:r>
      <w:r w:rsidR="00084FD4" w:rsidRPr="00BD2206">
        <w:t xml:space="preserve">Central Division </w:t>
      </w:r>
      <w:r w:rsidRPr="00BD2206">
        <w:t xml:space="preserve">service area; such notice by publication was completed on </w:t>
      </w:r>
      <w:r w:rsidR="004B199E" w:rsidRPr="00BD2206">
        <w:t>___________</w:t>
      </w:r>
      <w:r w:rsidRPr="00BD2206">
        <w:t xml:space="preserve">.  In addition, upon the filing of its application on </w:t>
      </w:r>
      <w:r w:rsidR="004B199E" w:rsidRPr="00BD2206">
        <w:t>_____________</w:t>
      </w:r>
      <w:r w:rsidRPr="00BD2206">
        <w:t xml:space="preserve">, </w:t>
      </w:r>
      <w:r w:rsidR="00DA6854" w:rsidRPr="00BD2206">
        <w:t>AEP Texas</w:t>
      </w:r>
      <w:r w:rsidRPr="00BD2206">
        <w:t xml:space="preserve"> provided notice, by furnishing a copy of its application to each party to Docket No. </w:t>
      </w:r>
      <w:r w:rsidR="004B199E" w:rsidRPr="00BD2206">
        <w:t>48577</w:t>
      </w:r>
      <w:r w:rsidRPr="00BD2206">
        <w:t xml:space="preserve">.  </w:t>
      </w:r>
    </w:p>
    <w:p w14:paraId="0E6C1554" w14:textId="2194C205" w:rsidR="003631D6" w:rsidRPr="00BD2206" w:rsidRDefault="003631D6" w:rsidP="003631D6">
      <w:pPr>
        <w:pStyle w:val="FOFNumbered"/>
      </w:pPr>
      <w:r w:rsidRPr="00BD2206">
        <w:rPr>
          <w:szCs w:val="24"/>
        </w:rPr>
        <w:t xml:space="preserve">On </w:t>
      </w:r>
      <w:r w:rsidR="004B199E" w:rsidRPr="00BD2206">
        <w:rPr>
          <w:szCs w:val="24"/>
        </w:rPr>
        <w:t>______________</w:t>
      </w:r>
      <w:r w:rsidRPr="00BD2206">
        <w:rPr>
          <w:szCs w:val="24"/>
        </w:rPr>
        <w:t xml:space="preserve">, </w:t>
      </w:r>
      <w:r w:rsidR="00DA6854" w:rsidRPr="00BD2206">
        <w:rPr>
          <w:szCs w:val="24"/>
        </w:rPr>
        <w:t>AEP Texas</w:t>
      </w:r>
      <w:r w:rsidRPr="00BD2206">
        <w:rPr>
          <w:szCs w:val="24"/>
        </w:rPr>
        <w:t xml:space="preserve"> also provided individual notice: (a) to the governing bodies of all Texas incorporated municipalities </w:t>
      </w:r>
      <w:r w:rsidR="00084FD4" w:rsidRPr="00BD2206">
        <w:rPr>
          <w:szCs w:val="24"/>
        </w:rPr>
        <w:t xml:space="preserve">in the Central Division </w:t>
      </w:r>
      <w:r w:rsidRPr="00BD2206">
        <w:rPr>
          <w:szCs w:val="24"/>
        </w:rPr>
        <w:t xml:space="preserve">that have retained original jurisdiction over </w:t>
      </w:r>
      <w:r w:rsidR="00DA6854" w:rsidRPr="00BD2206">
        <w:rPr>
          <w:szCs w:val="24"/>
        </w:rPr>
        <w:t>AEP Texas</w:t>
      </w:r>
      <w:r w:rsidRPr="00BD2206">
        <w:rPr>
          <w:szCs w:val="24"/>
        </w:rPr>
        <w:t xml:space="preserve">; (b) to all municipally owned electric utilities and electric cooperatives with multiply certificated service areas with </w:t>
      </w:r>
      <w:r w:rsidR="00084FD4" w:rsidRPr="00BD2206">
        <w:rPr>
          <w:szCs w:val="24"/>
        </w:rPr>
        <w:t xml:space="preserve">the Central Division of </w:t>
      </w:r>
      <w:r w:rsidR="00DA6854" w:rsidRPr="00BD2206">
        <w:rPr>
          <w:szCs w:val="24"/>
        </w:rPr>
        <w:t>AEP Texas</w:t>
      </w:r>
      <w:r w:rsidRPr="00BD2206">
        <w:rPr>
          <w:szCs w:val="24"/>
        </w:rPr>
        <w:t xml:space="preserve">; and (c) to each retail electric provider </w:t>
      </w:r>
      <w:r w:rsidR="00133914" w:rsidRPr="00BD2206">
        <w:rPr>
          <w:szCs w:val="24"/>
        </w:rPr>
        <w:t xml:space="preserve">(REP) </w:t>
      </w:r>
      <w:r w:rsidRPr="00BD2206">
        <w:rPr>
          <w:szCs w:val="24"/>
        </w:rPr>
        <w:t>listed on the Commission website</w:t>
      </w:r>
      <w:r w:rsidR="00084FD4" w:rsidRPr="00BD2206">
        <w:rPr>
          <w:szCs w:val="24"/>
        </w:rPr>
        <w:t xml:space="preserve"> at the time AEP Texas filed its application for a financing order</w:t>
      </w:r>
      <w:r w:rsidRPr="00BD2206">
        <w:rPr>
          <w:szCs w:val="24"/>
        </w:rPr>
        <w:t>.</w:t>
      </w:r>
    </w:p>
    <w:p w14:paraId="637AE359" w14:textId="726D0839" w:rsidR="003631D6" w:rsidRPr="00BD2206" w:rsidRDefault="003631D6" w:rsidP="003631D6">
      <w:pPr>
        <w:pStyle w:val="FOFNumbered"/>
      </w:pPr>
      <w:r w:rsidRPr="00BD2206">
        <w:rPr>
          <w:szCs w:val="24"/>
        </w:rPr>
        <w:t>Verification of the mailing of individual notices to the municipalities</w:t>
      </w:r>
      <w:bookmarkEnd w:id="341"/>
      <w:bookmarkEnd w:id="342"/>
      <w:r w:rsidRPr="00BD2206">
        <w:rPr>
          <w:szCs w:val="24"/>
        </w:rPr>
        <w:t>, to the municipally owned electric utilities and electric cooperatives with multiply certificated service areas with</w:t>
      </w:r>
      <w:r w:rsidR="00133914" w:rsidRPr="00BD2206">
        <w:rPr>
          <w:szCs w:val="24"/>
        </w:rPr>
        <w:t>in</w:t>
      </w:r>
      <w:r w:rsidRPr="00BD2206">
        <w:rPr>
          <w:szCs w:val="24"/>
        </w:rPr>
        <w:t xml:space="preserve"> </w:t>
      </w:r>
      <w:r w:rsidR="00084FD4" w:rsidRPr="00BD2206">
        <w:rPr>
          <w:szCs w:val="24"/>
        </w:rPr>
        <w:t xml:space="preserve">the </w:t>
      </w:r>
      <w:r w:rsidR="00DA6854" w:rsidRPr="00BD2206">
        <w:rPr>
          <w:szCs w:val="24"/>
        </w:rPr>
        <w:t>AEP Texas</w:t>
      </w:r>
      <w:r w:rsidR="00084FD4" w:rsidRPr="00BD2206">
        <w:rPr>
          <w:szCs w:val="24"/>
        </w:rPr>
        <w:t xml:space="preserve"> Central Division</w:t>
      </w:r>
      <w:r w:rsidRPr="00BD2206">
        <w:rPr>
          <w:szCs w:val="24"/>
        </w:rPr>
        <w:t xml:space="preserve">, and to the REPs, and of the furnishing of a copy of </w:t>
      </w:r>
      <w:r w:rsidR="00DA6854" w:rsidRPr="00BD2206">
        <w:rPr>
          <w:szCs w:val="24"/>
        </w:rPr>
        <w:t>AEP Texas</w:t>
      </w:r>
      <w:r w:rsidR="00C524C5" w:rsidRPr="00BD2206">
        <w:rPr>
          <w:szCs w:val="24"/>
        </w:rPr>
        <w:t>’</w:t>
      </w:r>
      <w:r w:rsidRPr="00BD2206">
        <w:rPr>
          <w:szCs w:val="24"/>
        </w:rPr>
        <w:t xml:space="preserve"> filing package on each of the parties to Docket No. </w:t>
      </w:r>
      <w:r w:rsidR="003D3EF8" w:rsidRPr="00BD2206">
        <w:rPr>
          <w:szCs w:val="24"/>
        </w:rPr>
        <w:t>48577</w:t>
      </w:r>
      <w:r w:rsidRPr="00BD2206">
        <w:rPr>
          <w:szCs w:val="24"/>
        </w:rPr>
        <w:t xml:space="preserve"> was made by affidavit filed on </w:t>
      </w:r>
      <w:r w:rsidR="003D3EF8" w:rsidRPr="00BD2206">
        <w:rPr>
          <w:szCs w:val="24"/>
        </w:rPr>
        <w:t>___________</w:t>
      </w:r>
      <w:r w:rsidRPr="00BD2206">
        <w:rPr>
          <w:szCs w:val="24"/>
        </w:rPr>
        <w:t xml:space="preserve">.  Proof of publication of notice was submitted in the form of publishers’ affidavits on </w:t>
      </w:r>
      <w:r w:rsidR="003D3EF8" w:rsidRPr="00BD2206">
        <w:rPr>
          <w:szCs w:val="24"/>
        </w:rPr>
        <w:t>___________</w:t>
      </w:r>
      <w:r w:rsidRPr="00BD2206">
        <w:rPr>
          <w:szCs w:val="24"/>
        </w:rPr>
        <w:t xml:space="preserve">.  </w:t>
      </w:r>
    </w:p>
    <w:p w14:paraId="7C70B122" w14:textId="77777777" w:rsidR="003631D6" w:rsidRPr="00BD2206" w:rsidRDefault="00B42FAC" w:rsidP="00B42FAC">
      <w:pPr>
        <w:pStyle w:val="Heading2"/>
      </w:pPr>
      <w:bookmarkStart w:id="343" w:name="_Toc88378134"/>
      <w:bookmarkStart w:id="344" w:name="_Toc88379106"/>
      <w:bookmarkStart w:id="345" w:name="_Toc88379328"/>
      <w:bookmarkStart w:id="346" w:name="_Toc88379548"/>
      <w:bookmarkStart w:id="347" w:name="_Toc88379766"/>
      <w:bookmarkStart w:id="348" w:name="_Toc88379954"/>
      <w:bookmarkStart w:id="349" w:name="_Toc88380137"/>
      <w:bookmarkStart w:id="350" w:name="_Toc88380267"/>
      <w:bookmarkStart w:id="351" w:name="_Toc88380424"/>
      <w:bookmarkStart w:id="352" w:name="_Toc88380516"/>
      <w:bookmarkStart w:id="353" w:name="_Toc88380608"/>
      <w:bookmarkStart w:id="354" w:name="_Toc97535655"/>
      <w:bookmarkStart w:id="355" w:name="_Toc158028386"/>
      <w:bookmarkStart w:id="356" w:name="_Toc177539439"/>
      <w:r w:rsidRPr="00BD2206">
        <w:t xml:space="preserve">  </w:t>
      </w:r>
      <w:bookmarkStart w:id="357" w:name="_Toc2778491"/>
      <w:r w:rsidR="003631D6" w:rsidRPr="00BD2206">
        <w:t xml:space="preserve">Qualified Costs and Amount to be </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r w:rsidR="003631D6" w:rsidRPr="00BD2206">
        <w:t>Securitized</w:t>
      </w:r>
      <w:bookmarkEnd w:id="357"/>
    </w:p>
    <w:p w14:paraId="0A486376" w14:textId="77777777" w:rsidR="003631D6" w:rsidRPr="00BD2206" w:rsidRDefault="003631D6" w:rsidP="00B42FAC">
      <w:pPr>
        <w:pStyle w:val="Heading3"/>
      </w:pPr>
      <w:bookmarkStart w:id="358" w:name="_Toc88378135"/>
      <w:bookmarkStart w:id="359" w:name="_Toc88379107"/>
      <w:bookmarkStart w:id="360" w:name="_Toc88379329"/>
      <w:bookmarkStart w:id="361" w:name="_Toc88379549"/>
      <w:bookmarkStart w:id="362" w:name="_Toc88379767"/>
      <w:bookmarkStart w:id="363" w:name="_Toc88379955"/>
      <w:bookmarkStart w:id="364" w:name="_Toc88380138"/>
      <w:bookmarkStart w:id="365" w:name="_Toc88380268"/>
      <w:bookmarkStart w:id="366" w:name="_Toc88380425"/>
      <w:bookmarkStart w:id="367" w:name="_Toc88380517"/>
      <w:bookmarkStart w:id="368" w:name="_Toc88380609"/>
      <w:bookmarkStart w:id="369" w:name="_Toc97535656"/>
      <w:bookmarkStart w:id="370" w:name="_Toc158028387"/>
      <w:bookmarkStart w:id="371" w:name="_Toc177539440"/>
      <w:bookmarkStart w:id="372" w:name="_Toc2778492"/>
      <w:r w:rsidRPr="00BD2206">
        <w:t>Identification</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161C4DF5" w14:textId="7E96F7DD" w:rsidR="003631D6" w:rsidRPr="00BD2206" w:rsidRDefault="002406EE" w:rsidP="003631D6">
      <w:pPr>
        <w:pStyle w:val="FOFNumbered"/>
      </w:pPr>
      <w:bookmarkStart w:id="373" w:name="_Toc83701873"/>
      <w:bookmarkStart w:id="374" w:name="_Toc83703726"/>
      <w:r w:rsidRPr="00BD2206">
        <w:t>Qualified costs are defined in PURA § 36.403(d) to include 100% of an electric utility’s system restoration costs</w:t>
      </w:r>
      <w:r w:rsidR="00112BCA" w:rsidRPr="00BD2206">
        <w:t>,</w:t>
      </w:r>
      <w:r w:rsidRPr="00BD2206">
        <w:t xml:space="preserve"> including carrying costs at the electric utility’s weighted average cost of capital as last approved in the utility’s general rate case, net of any insurance proceeds, government grants, or other sources of funding that compensate the utility for system restoration costs received by the utility at the time it files an application for a financing order, together with the costs of issuing, supporting, and servicing system restoration bonds and any costs of retiring and refunding the electric utility’s existing debt and equity securities in connection with the issuance of system restoration bonds.</w:t>
      </w:r>
      <w:r w:rsidRPr="00BD2206">
        <w:rPr>
          <w:rStyle w:val="FootnoteReference"/>
        </w:rPr>
        <w:footnoteReference w:id="52"/>
      </w:r>
      <w:r w:rsidRPr="00BD2206">
        <w:t xml:space="preserve">  Qualified costs also include the costs to the Commission of acquiring professional services for the purpose of evaluating proposed securitization transactions and costs associated with ancillary agreements such as any bond insurance policy, letter of credit, reserve account, surety bond, swap arrangement, hedging arrangement, liquidity or credit support arrangement or other financial arrangement entered into in connection with the issuance or payment of the system restoration bonds</w:t>
      </w:r>
      <w:r w:rsidR="003631D6" w:rsidRPr="00BD2206">
        <w:t>.</w:t>
      </w:r>
      <w:bookmarkStart w:id="375" w:name="_Toc83701875"/>
      <w:bookmarkStart w:id="376" w:name="_Toc83703728"/>
      <w:bookmarkEnd w:id="373"/>
      <w:bookmarkEnd w:id="374"/>
      <w:r w:rsidR="00112BCA" w:rsidRPr="00BD2206">
        <w:t xml:space="preserve">  In this case, the qualified costs</w:t>
      </w:r>
      <w:r w:rsidR="00AF1BD4" w:rsidRPr="00BD2206">
        <w:t xml:space="preserve"> to be securitized</w:t>
      </w:r>
      <w:r w:rsidR="00112BCA" w:rsidRPr="00BD2206">
        <w:t xml:space="preserve"> will be offset utilizing certain prescribed excess unprotected ADFIT as determined in Docket No. 48577</w:t>
      </w:r>
      <w:r w:rsidR="00AF1BD4" w:rsidRPr="00BD2206">
        <w:t>.</w:t>
      </w:r>
    </w:p>
    <w:p w14:paraId="56E76A4C" w14:textId="2E092CF2" w:rsidR="003631D6" w:rsidRPr="00BD2206" w:rsidRDefault="002406EE" w:rsidP="003631D6">
      <w:pPr>
        <w:pStyle w:val="FOFNumbered"/>
      </w:pPr>
      <w:bookmarkStart w:id="377" w:name="_Toc83701878"/>
      <w:bookmarkStart w:id="378" w:name="_Toc83703731"/>
      <w:bookmarkEnd w:id="375"/>
      <w:bookmarkEnd w:id="376"/>
      <w:r w:rsidRPr="00BD2206">
        <w:t>The actual costs of issuing and supporting the system restoration bonds will not be known until the system restoration bonds are issued, and certain ongoing costs relating to the system restoration bonds may not be known until such costs are incurred.  However, to satisfy the statutory obligation to ensure tangible and quantifiable benefits to ratepayers, it is appropriate to limit the amount of certain up-front qualified costs that may be included in the principal amount of the system restoration bonds so that the sum of those up-front qualified costs does not exceed</w:t>
      </w:r>
      <w:r w:rsidR="00946957" w:rsidRPr="00BD2206">
        <w:t xml:space="preserve"> </w:t>
      </w:r>
      <w:r w:rsidRPr="00BD2206">
        <w:t>$</w:t>
      </w:r>
      <w:r w:rsidR="004C36D0" w:rsidRPr="00BD2206">
        <w:t>4.</w:t>
      </w:r>
      <w:r w:rsidR="002A13B9" w:rsidRPr="00BD2206">
        <w:t>4</w:t>
      </w:r>
      <w:r w:rsidR="004C36D0" w:rsidRPr="00BD2206">
        <w:t xml:space="preserve"> million </w:t>
      </w:r>
      <w:r w:rsidRPr="00BD2206">
        <w:t>plus (i)</w:t>
      </w:r>
      <w:r w:rsidR="00737498" w:rsidRPr="00BD2206">
        <w:t xml:space="preserve"> the cost of</w:t>
      </w:r>
      <w:r w:rsidRPr="00BD2206">
        <w:t xml:space="preserve"> original issue discount, credit enhancements and other arrangements to enhance marketability as discussed in Ordering Paragraphs 6 and 23, (ii) the cost of the Commission’s financial advisor, if any, and any additional costs incurred by AEP Texas to comply with the requests and recommendations of the Commission’s financial advisor, and (i</w:t>
      </w:r>
      <w:r w:rsidR="00737498" w:rsidRPr="00BD2206">
        <w:t>ii</w:t>
      </w:r>
      <w:r w:rsidRPr="00BD2206">
        <w:t>) any costs incurred by AEP Texas if this Financing Order is appealed.  However, no component of up-front qualified costs will be subject to an individual cap</w:t>
      </w:r>
      <w:r w:rsidR="00E93378" w:rsidRPr="00BD2206">
        <w:t>, and should actual SEC registration fees, underwriters’ fees, or rating agency fees exceed the estimates of those items stated in Appendix C, AEP</w:t>
      </w:r>
      <w:r w:rsidR="00737498" w:rsidRPr="00BD2206">
        <w:t xml:space="preserve"> Texas</w:t>
      </w:r>
      <w:r w:rsidR="00E93378" w:rsidRPr="00BD2206">
        <w:t xml:space="preserve"> is authorized</w:t>
      </w:r>
      <w:r w:rsidR="00946957" w:rsidRPr="00BD2206">
        <w:t xml:space="preserve">, subject to compliance with the financial tests </w:t>
      </w:r>
      <w:r w:rsidR="00351071" w:rsidRPr="00BD2206">
        <w:t>set forth in PURA</w:t>
      </w:r>
      <w:r w:rsidR="00946957" w:rsidRPr="00BD2206">
        <w:t>,</w:t>
      </w:r>
      <w:r w:rsidR="00E93378" w:rsidRPr="00BD2206">
        <w:t xml:space="preserve"> to increase the overall cap to adjust for </w:t>
      </w:r>
      <w:r w:rsidR="00946957" w:rsidRPr="00BD2206">
        <w:t>such</w:t>
      </w:r>
      <w:r w:rsidR="00E93378" w:rsidRPr="00BD2206">
        <w:t xml:space="preserve"> increases</w:t>
      </w:r>
      <w:r w:rsidRPr="00BD2206">
        <w:t>.  The amount of the up-front qualified costs shall be shown in the issuance advice letter to ensure compliance with all statutory requirements</w:t>
      </w:r>
      <w:r w:rsidR="003631D6" w:rsidRPr="00BD2206">
        <w:t xml:space="preserve"> </w:t>
      </w:r>
      <w:bookmarkEnd w:id="377"/>
      <w:bookmarkEnd w:id="378"/>
    </w:p>
    <w:p w14:paraId="06E5CB97" w14:textId="0107E4D0" w:rsidR="003631D6" w:rsidRPr="00BD2206" w:rsidRDefault="00DA6854" w:rsidP="003631D6">
      <w:pPr>
        <w:pStyle w:val="FOFNumbered"/>
      </w:pPr>
      <w:r w:rsidRPr="00BD2206">
        <w:t>AEP Texas</w:t>
      </w:r>
      <w:r w:rsidR="003631D6" w:rsidRPr="00BD2206">
        <w:t xml:space="preserve"> </w:t>
      </w:r>
      <w:r w:rsidR="001B075E" w:rsidRPr="00BD2206">
        <w:t xml:space="preserve">intends to use the proceeds from the sale of the transition property to </w:t>
      </w:r>
      <w:r w:rsidR="00737498" w:rsidRPr="00BD2206">
        <w:t xml:space="preserve">reduce recoverable system restoration costs, </w:t>
      </w:r>
      <w:r w:rsidR="00D807AF" w:rsidRPr="00BD2206">
        <w:t xml:space="preserve">and thereafter to </w:t>
      </w:r>
      <w:r w:rsidR="001B075E" w:rsidRPr="00BD2206">
        <w:t xml:space="preserve">repay outstanding short-term debt at AEP Texas and to fund capital expenditures to support utility operations and services; accordingly, it </w:t>
      </w:r>
      <w:r w:rsidR="003631D6" w:rsidRPr="00BD2206">
        <w:t xml:space="preserve">does not anticipate incurring costs of retiring or refunding debt or equity in connection with the proceeds from the issuance of the </w:t>
      </w:r>
      <w:r w:rsidR="0090260B" w:rsidRPr="00BD2206">
        <w:t>system restoration</w:t>
      </w:r>
      <w:r w:rsidR="003631D6" w:rsidRPr="00BD2206">
        <w:t xml:space="preserve"> bonds.</w:t>
      </w:r>
      <w:r w:rsidR="003631D6" w:rsidRPr="00BD2206">
        <w:rPr>
          <w:rStyle w:val="FootnoteReference"/>
        </w:rPr>
        <w:footnoteReference w:id="53"/>
      </w:r>
      <w:r w:rsidR="003631D6" w:rsidRPr="00BD2206">
        <w:t xml:space="preserve">  However, if costs of retiring or refunding debt are incurred, the Commission authorizes </w:t>
      </w:r>
      <w:r w:rsidRPr="00BD2206">
        <w:t>AEP Texas</w:t>
      </w:r>
      <w:r w:rsidR="003631D6" w:rsidRPr="00BD2206">
        <w:t xml:space="preserve"> to record such costs as a regulatory asset included on its books.  </w:t>
      </w:r>
      <w:r w:rsidRPr="00BD2206">
        <w:t>AEP Texas</w:t>
      </w:r>
      <w:r w:rsidR="003631D6" w:rsidRPr="00BD2206">
        <w:t xml:space="preserve"> is allowed to accrue carrying costs on such regulatory asset using the weighted-average interest rate on the </w:t>
      </w:r>
      <w:r w:rsidR="0090260B" w:rsidRPr="00BD2206">
        <w:t>system restoration</w:t>
      </w:r>
      <w:r w:rsidR="003631D6" w:rsidRPr="00BD2206">
        <w:t xml:space="preserve"> bonds.  The accrual of carrying costs will continue until the costs are included in </w:t>
      </w:r>
      <w:r w:rsidRPr="00BD2206">
        <w:t>AEP Texas</w:t>
      </w:r>
      <w:r w:rsidR="003631D6" w:rsidRPr="00BD2206">
        <w:t xml:space="preserve">’ next base rate case, and the costs, together with carrying costs, will be considered for recovery in </w:t>
      </w:r>
      <w:r w:rsidRPr="00BD2206">
        <w:t>AEP Texas</w:t>
      </w:r>
      <w:r w:rsidR="003631D6" w:rsidRPr="00BD2206">
        <w:t>’ next base rate case, subject to a showing that such costs were prudently incurred and are reasonable and necessary.</w:t>
      </w:r>
    </w:p>
    <w:p w14:paraId="38C01B80" w14:textId="77B00A6F" w:rsidR="0090260B" w:rsidRPr="00BD2206" w:rsidRDefault="0090260B" w:rsidP="00464AF6">
      <w:pPr>
        <w:pStyle w:val="Heading3"/>
      </w:pPr>
      <w:bookmarkStart w:id="379" w:name="_Toc158028390"/>
      <w:bookmarkStart w:id="380" w:name="_Toc177539441"/>
      <w:bookmarkStart w:id="381" w:name="_Toc83701879"/>
      <w:bookmarkStart w:id="382" w:name="_Toc83703732"/>
      <w:bookmarkStart w:id="383" w:name="_Ref138485701"/>
      <w:r w:rsidRPr="00BD2206">
        <w:tab/>
      </w:r>
      <w:bookmarkStart w:id="384" w:name="_Toc2778493"/>
      <w:r w:rsidRPr="00BD2206">
        <w:t>Accumulated Deferred Federal Income Tax</w:t>
      </w:r>
      <w:r w:rsidR="008529F3" w:rsidRPr="00BD2206">
        <w:t xml:space="preserve"> Benefit</w:t>
      </w:r>
      <w:r w:rsidRPr="00BD2206">
        <w:t>s</w:t>
      </w:r>
      <w:bookmarkEnd w:id="384"/>
    </w:p>
    <w:p w14:paraId="3CEBC774" w14:textId="2502CDED" w:rsidR="0090260B" w:rsidRPr="00BD2206" w:rsidRDefault="0090260B" w:rsidP="0090260B">
      <w:pPr>
        <w:pStyle w:val="FOFNumbered"/>
      </w:pPr>
      <w:r w:rsidRPr="00BD2206">
        <w:t xml:space="preserve">ADFIT associated with system restoration costs occurs because of the </w:t>
      </w:r>
      <w:r w:rsidR="008529F3" w:rsidRPr="00BD2206">
        <w:t xml:space="preserve">timing </w:t>
      </w:r>
      <w:r w:rsidRPr="00BD2206">
        <w:t xml:space="preserve">difference </w:t>
      </w:r>
      <w:r w:rsidR="008529F3" w:rsidRPr="00BD2206">
        <w:t>between</w:t>
      </w:r>
      <w:r w:rsidRPr="00BD2206">
        <w:t xml:space="preserve"> the regulatory and tax treatment of the system restoration costs.</w:t>
      </w:r>
    </w:p>
    <w:p w14:paraId="7A09A09D" w14:textId="22F670BB" w:rsidR="00086EEC" w:rsidRPr="00BD2206" w:rsidRDefault="00086EEC" w:rsidP="0090260B">
      <w:pPr>
        <w:pStyle w:val="FOFNumbered"/>
      </w:pPr>
      <w:r w:rsidRPr="00BD2206">
        <w:t>AEP Texas proposed an ADFIT Credit Rider that provides ratepayers the benefit of ADFIT associated with system restoration costs over the same time period the Company will collect the System Restoration Charges from ratepayers.</w:t>
      </w:r>
    </w:p>
    <w:p w14:paraId="5EB721F9" w14:textId="65A8402D" w:rsidR="00506C44" w:rsidRPr="00BD2206" w:rsidRDefault="00086EEC" w:rsidP="0090260B">
      <w:pPr>
        <w:pStyle w:val="FOFNumbered"/>
      </w:pPr>
      <w:r w:rsidRPr="00BD2206">
        <w:t xml:space="preserve">AEP Texas’ estimate of </w:t>
      </w:r>
      <w:r w:rsidR="008529F3" w:rsidRPr="00BD2206">
        <w:t xml:space="preserve">the </w:t>
      </w:r>
      <w:r w:rsidRPr="00BD2206">
        <w:t xml:space="preserve">ADFIT </w:t>
      </w:r>
      <w:r w:rsidR="008529F3" w:rsidRPr="00BD2206">
        <w:t xml:space="preserve">benefit </w:t>
      </w:r>
      <w:r w:rsidRPr="00BD2206">
        <w:t>associated with system restoration costs appropriately takes into account the impact of the Company’s Net Operating Loss.</w:t>
      </w:r>
    </w:p>
    <w:p w14:paraId="3C4F91B2" w14:textId="396DB147" w:rsidR="0090260B" w:rsidRPr="00BD2206" w:rsidRDefault="0019238E" w:rsidP="0090260B">
      <w:pPr>
        <w:pStyle w:val="FOFNumbered"/>
      </w:pPr>
      <w:r w:rsidRPr="00BD2206">
        <w:t>T</w:t>
      </w:r>
      <w:r w:rsidR="00506C44" w:rsidRPr="00BD2206">
        <w:t>he ADFIT benefits associated with system restoration costs can only be estimated</w:t>
      </w:r>
      <w:r w:rsidRPr="00BD2206">
        <w:t xml:space="preserve"> at this point</w:t>
      </w:r>
      <w:r w:rsidR="00506C44" w:rsidRPr="00BD2206">
        <w:t xml:space="preserve"> because they are dependent in part on future taxable income</w:t>
      </w:r>
      <w:r w:rsidR="008529F3" w:rsidRPr="00BD2206">
        <w:t>, a future tax refund,</w:t>
      </w:r>
      <w:r w:rsidR="00506C44" w:rsidRPr="00BD2206">
        <w:t xml:space="preserve"> and the specific timing of the issuance of system restoration bonds, </w:t>
      </w:r>
      <w:r w:rsidR="008529F3" w:rsidRPr="00BD2206">
        <w:t>all</w:t>
      </w:r>
      <w:r w:rsidR="00506C44" w:rsidRPr="00BD2206">
        <w:t xml:space="preserve"> of which remain uncertain at this time.  The available amount of ADFIT benefit when AEP Texas begins to implement the ADFIT Credit Rider is subject to update at the time system restoration bonds are issued, and to the extent necessary, in connection with true-up filings over the course of the period that the ADFIT Credit Rider and System Restoration Charges remain in force.</w:t>
      </w:r>
      <w:r w:rsidR="0090260B" w:rsidRPr="00BD2206">
        <w:t xml:space="preserve">   </w:t>
      </w:r>
    </w:p>
    <w:p w14:paraId="53952A5C" w14:textId="77777777" w:rsidR="003631D6" w:rsidRPr="00BD2206" w:rsidRDefault="003631D6" w:rsidP="003631D6">
      <w:pPr>
        <w:pStyle w:val="Heading3"/>
      </w:pPr>
      <w:bookmarkStart w:id="385" w:name="_Toc2778494"/>
      <w:r w:rsidRPr="00BD2206">
        <w:t>Balance to be Securitized</w:t>
      </w:r>
      <w:bookmarkEnd w:id="379"/>
      <w:bookmarkEnd w:id="380"/>
      <w:bookmarkEnd w:id="385"/>
    </w:p>
    <w:p w14:paraId="1C86FD51" w14:textId="52D436E4" w:rsidR="003631D6" w:rsidRPr="00BD2206" w:rsidRDefault="006303B6" w:rsidP="003631D6">
      <w:pPr>
        <w:pStyle w:val="FOFNumbered"/>
      </w:pPr>
      <w:r w:rsidRPr="00BD2206">
        <w:t xml:space="preserve">AEP Texas should be authorized to cause system restoration bonds to be issued in an aggregate principal amount equal to the </w:t>
      </w:r>
      <w:proofErr w:type="spellStart"/>
      <w:r w:rsidRPr="00BD2206">
        <w:t>Securitizable</w:t>
      </w:r>
      <w:proofErr w:type="spellEnd"/>
      <w:r w:rsidRPr="00BD2206">
        <w:t xml:space="preserve"> Balance at the time of issuance plus up-front qualified costs as described in Ordering Paragraph 17.  The </w:t>
      </w:r>
      <w:proofErr w:type="spellStart"/>
      <w:r w:rsidRPr="00BD2206">
        <w:t>Securitizable</w:t>
      </w:r>
      <w:proofErr w:type="spellEnd"/>
      <w:r w:rsidRPr="00BD2206">
        <w:t xml:space="preserve"> Balance to be securitized shall be equal to the balance of distribution-related system restoration costs as determined in Docket No. 48577 plus carrying costs</w:t>
      </w:r>
      <w:r w:rsidR="008D40FD" w:rsidRPr="00BD2206">
        <w:t>,</w:t>
      </w:r>
      <w:r w:rsidRPr="00BD2206">
        <w:t xml:space="preserve"> using the methodology for calculating carrying costs approved in Docket No. 48577</w:t>
      </w:r>
      <w:r w:rsidR="008D40FD" w:rsidRPr="00BD2206">
        <w:t>,</w:t>
      </w:r>
      <w:r w:rsidRPr="00BD2206">
        <w:t xml:space="preserve"> through the date the system restoration bonds are issued </w:t>
      </w:r>
      <w:r w:rsidR="0007759C" w:rsidRPr="00BD2206">
        <w:t>net of</w:t>
      </w:r>
      <w:r w:rsidR="0086142B" w:rsidRPr="00BD2206">
        <w:t xml:space="preserve"> </w:t>
      </w:r>
      <w:r w:rsidRPr="00BD2206">
        <w:t xml:space="preserve">all insurance proceeds, government grants, and other sources of funding </w:t>
      </w:r>
      <w:r w:rsidR="002459F1" w:rsidRPr="00BD2206">
        <w:t xml:space="preserve">received </w:t>
      </w:r>
      <w:r w:rsidR="00ED02A8" w:rsidRPr="00BD2206">
        <w:t xml:space="preserve">by AEP Texas </w:t>
      </w:r>
      <w:r w:rsidR="002459F1" w:rsidRPr="00BD2206">
        <w:t xml:space="preserve">at the time that the financing application was filed </w:t>
      </w:r>
      <w:r w:rsidRPr="00BD2206">
        <w:t>that compensate AEP Texas for the distribution-related system restoration costs</w:t>
      </w:r>
      <w:r w:rsidR="001E5B31" w:rsidRPr="00BD2206">
        <w:t>, and a further offset utilizing certain prescribed excess unprotected ADFIT,</w:t>
      </w:r>
      <w:r w:rsidRPr="00BD2206">
        <w:t xml:space="preserve"> </w:t>
      </w:r>
      <w:r w:rsidR="00721B8B" w:rsidRPr="00BD2206">
        <w:t xml:space="preserve">all as </w:t>
      </w:r>
      <w:r w:rsidRPr="00BD2206">
        <w:t xml:space="preserve">determined in Docket No. 48577.  In the issuance advice letter, AEP Texas shall update the amounts to reflect the </w:t>
      </w:r>
      <w:proofErr w:type="spellStart"/>
      <w:r w:rsidRPr="00BD2206">
        <w:t>Securitizable</w:t>
      </w:r>
      <w:proofErr w:type="spellEnd"/>
      <w:r w:rsidRPr="00BD2206">
        <w:t xml:space="preserve"> Balance on the date of issuance and the </w:t>
      </w:r>
      <w:r w:rsidR="0007759C" w:rsidRPr="00BD2206">
        <w:t xml:space="preserve">amount of </w:t>
      </w:r>
      <w:r w:rsidRPr="00BD2206">
        <w:t>up-front qualified costs</w:t>
      </w:r>
      <w:r w:rsidR="0007759C" w:rsidRPr="00BD2206">
        <w:t xml:space="preserve"> securitized</w:t>
      </w:r>
      <w:r w:rsidRPr="00BD2206">
        <w:t xml:space="preserve">, subject to </w:t>
      </w:r>
      <w:r w:rsidR="001B075E" w:rsidRPr="00BD2206">
        <w:t>any caps on certain</w:t>
      </w:r>
      <w:r w:rsidRPr="00BD2206">
        <w:t xml:space="preserve"> up-front costs provided in</w:t>
      </w:r>
      <w:r w:rsidR="001B075E" w:rsidRPr="00BD2206">
        <w:t xml:space="preserve"> Ordering Paragraph 17 of</w:t>
      </w:r>
      <w:r w:rsidRPr="00BD2206">
        <w:t xml:space="preserve"> this Financing Order.  </w:t>
      </w:r>
    </w:p>
    <w:p w14:paraId="01B0C381" w14:textId="32439264" w:rsidR="003631D6" w:rsidRPr="00BD2206" w:rsidRDefault="003631D6" w:rsidP="003631D6">
      <w:pPr>
        <w:pStyle w:val="FOFNumbered"/>
        <w:tabs>
          <w:tab w:val="clear" w:pos="720"/>
        </w:tabs>
      </w:pPr>
      <w:r w:rsidRPr="00BD2206">
        <w:t xml:space="preserve">It is appropriate for </w:t>
      </w:r>
      <w:r w:rsidR="00DA6854" w:rsidRPr="00BD2206">
        <w:t>AEP Texas</w:t>
      </w:r>
      <w:r w:rsidRPr="00BD2206">
        <w:t xml:space="preserve"> to recover the annual ongoing servicing fees and the annual fixed operating costs directly through </w:t>
      </w:r>
      <w:r w:rsidR="006303B6" w:rsidRPr="00BD2206">
        <w:t>system restoration</w:t>
      </w:r>
      <w:r w:rsidRPr="00BD2206">
        <w:t xml:space="preserve"> charges.  It is also appropriate to impose additional limits to ensure that the servicing fees incurred when </w:t>
      </w:r>
      <w:r w:rsidR="00DA6854" w:rsidRPr="00BD2206">
        <w:t>AEP Texas</w:t>
      </w:r>
      <w:r w:rsidRPr="00BD2206">
        <w:t xml:space="preserve"> serves as servicer do not exceed 0.</w:t>
      </w:r>
      <w:r w:rsidR="00924594" w:rsidRPr="00BD2206">
        <w:t>1</w:t>
      </w:r>
      <w:r w:rsidRPr="00BD2206">
        <w:t xml:space="preserve">0% of the initial principal balance of the </w:t>
      </w:r>
      <w:r w:rsidR="00A56180" w:rsidRPr="00BD2206">
        <w:t xml:space="preserve">system restoration </w:t>
      </w:r>
      <w:r w:rsidRPr="00BD2206">
        <w:t xml:space="preserve">bonds and that the administrative fees incurred when </w:t>
      </w:r>
      <w:r w:rsidR="00DA6854" w:rsidRPr="00BD2206">
        <w:t>AEP Texas</w:t>
      </w:r>
      <w:r w:rsidRPr="00BD2206">
        <w:t xml:space="preserve"> is the administrator do not exceed $100,000 per year for each </w:t>
      </w:r>
      <w:proofErr w:type="spellStart"/>
      <w:r w:rsidRPr="00BD2206">
        <w:t>BondCo</w:t>
      </w:r>
      <w:proofErr w:type="spellEnd"/>
      <w:r w:rsidRPr="00BD2206">
        <w:t xml:space="preserve"> plus reimbursable third party costs as shown in Appendix C.  Consistent with </w:t>
      </w:r>
      <w:r w:rsidR="00DA6854" w:rsidRPr="00BD2206">
        <w:t>AEP Texas</w:t>
      </w:r>
      <w:r w:rsidR="006303B6" w:rsidRPr="00BD2206">
        <w:t>’</w:t>
      </w:r>
      <w:r w:rsidRPr="00BD2206">
        <w:t xml:space="preserve"> prior securitizations, the annual servicing fee payable to a servicer not affiliated with </w:t>
      </w:r>
      <w:r w:rsidR="00DA6854" w:rsidRPr="00BD2206">
        <w:t>AEP Texas</w:t>
      </w:r>
      <w:r w:rsidRPr="00BD2206">
        <w:t xml:space="preserve"> will not exceed 0.6% of the initial principal balance of the </w:t>
      </w:r>
      <w:r w:rsidR="00A56180" w:rsidRPr="00BD2206">
        <w:t xml:space="preserve">system restoration </w:t>
      </w:r>
      <w:r w:rsidRPr="00BD2206">
        <w:t xml:space="preserve">bonds unless such higher rate is approved by the Commission.  Ongoing costs other than the servicer and administrative fees charged by </w:t>
      </w:r>
      <w:r w:rsidR="00DA6854" w:rsidRPr="00BD2206">
        <w:t>AEP Texas</w:t>
      </w:r>
      <w:r w:rsidRPr="00BD2206">
        <w:t xml:space="preserve"> when it serves as servicer and administrator are not capped, but are estimated in Appendix C to this Financing Order</w:t>
      </w:r>
      <w:bookmarkStart w:id="386" w:name="_Toc83701882"/>
      <w:bookmarkStart w:id="387" w:name="_Toc83703735"/>
      <w:bookmarkEnd w:id="381"/>
      <w:bookmarkEnd w:id="382"/>
      <w:bookmarkEnd w:id="383"/>
      <w:r w:rsidRPr="00BD2206">
        <w:t xml:space="preserve">.  The servicing and administrative fees collected by </w:t>
      </w:r>
      <w:r w:rsidR="00DA6854" w:rsidRPr="00BD2206">
        <w:t>AEP Texas</w:t>
      </w:r>
      <w:r w:rsidRPr="00BD2206">
        <w:t xml:space="preserve">, or any affiliate of </w:t>
      </w:r>
      <w:r w:rsidR="00DA6854" w:rsidRPr="00BD2206">
        <w:t>AEP Texas</w:t>
      </w:r>
      <w:r w:rsidRPr="00BD2206">
        <w:t xml:space="preserve">, acting as servicer or administrator under the servicing agreement or administration agreement shall be included as a revenue credit and reduce revenue requirements in each subsequent rate case.  The expenses incurred by </w:t>
      </w:r>
      <w:r w:rsidR="00DA6854" w:rsidRPr="00BD2206">
        <w:t>AEP Texas</w:t>
      </w:r>
      <w:r w:rsidRPr="00BD2206">
        <w:t xml:space="preserve"> or such affiliate to perform obligations under the servicing agreement should be included in each </w:t>
      </w:r>
      <w:r w:rsidR="00DA6854" w:rsidRPr="00BD2206">
        <w:t>AEP Texas</w:t>
      </w:r>
      <w:r w:rsidRPr="00BD2206">
        <w:t xml:space="preserve"> base rate case.</w:t>
      </w:r>
    </w:p>
    <w:p w14:paraId="7548CC61" w14:textId="77777777" w:rsidR="003631D6" w:rsidRPr="00BD2206" w:rsidRDefault="003631D6" w:rsidP="003631D6">
      <w:pPr>
        <w:pStyle w:val="Heading3"/>
        <w:rPr>
          <w:szCs w:val="20"/>
        </w:rPr>
      </w:pPr>
      <w:bookmarkStart w:id="388" w:name="_Toc88378136"/>
      <w:bookmarkStart w:id="389" w:name="_Toc88379108"/>
      <w:bookmarkStart w:id="390" w:name="_Toc88379330"/>
      <w:bookmarkStart w:id="391" w:name="_Toc88379550"/>
      <w:bookmarkStart w:id="392" w:name="_Toc88379768"/>
      <w:bookmarkStart w:id="393" w:name="_Toc88379956"/>
      <w:bookmarkStart w:id="394" w:name="_Toc88380139"/>
      <w:bookmarkStart w:id="395" w:name="_Toc88380269"/>
      <w:bookmarkStart w:id="396" w:name="_Toc88380426"/>
      <w:bookmarkStart w:id="397" w:name="_Toc88380518"/>
      <w:bookmarkStart w:id="398" w:name="_Toc88380610"/>
      <w:bookmarkStart w:id="399" w:name="_Toc97535660"/>
      <w:bookmarkStart w:id="400" w:name="_Toc158028391"/>
      <w:bookmarkStart w:id="401" w:name="_Toc177539442"/>
      <w:bookmarkStart w:id="402" w:name="_Toc2778495"/>
      <w:bookmarkEnd w:id="386"/>
      <w:bookmarkEnd w:id="387"/>
      <w:r w:rsidRPr="00BD2206">
        <w:rPr>
          <w:szCs w:val="20"/>
        </w:rPr>
        <w:t>Issuance Advice Letter</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04D59F01" w14:textId="7B06111D" w:rsidR="003631D6" w:rsidRPr="00BD2206" w:rsidRDefault="003631D6" w:rsidP="003631D6">
      <w:pPr>
        <w:pStyle w:val="FOFNumbered"/>
      </w:pPr>
      <w:bookmarkStart w:id="403" w:name="_Toc83701883"/>
      <w:bookmarkStart w:id="404" w:name="_Toc83703736"/>
      <w:r w:rsidRPr="00BD2206">
        <w:t xml:space="preserve">Because the actual structure and pricing of the </w:t>
      </w:r>
      <w:r w:rsidR="00F65FC2" w:rsidRPr="00BD2206">
        <w:t xml:space="preserve">system restoration </w:t>
      </w:r>
      <w:r w:rsidRPr="00BD2206">
        <w:t xml:space="preserve">bonds will not be known at the time this Financing Order is issued, following determination of the final terms of the </w:t>
      </w:r>
      <w:r w:rsidR="00F65FC2" w:rsidRPr="00BD2206">
        <w:t xml:space="preserve">system restoration </w:t>
      </w:r>
      <w:r w:rsidRPr="00BD2206">
        <w:t xml:space="preserve">bonds and prior to issuance of the </w:t>
      </w:r>
      <w:r w:rsidR="00F65FC2" w:rsidRPr="00BD2206">
        <w:t xml:space="preserve">system restoration </w:t>
      </w:r>
      <w:r w:rsidRPr="00BD2206">
        <w:t xml:space="preserve">bonds, </w:t>
      </w:r>
      <w:r w:rsidR="00DA6854" w:rsidRPr="00BD2206">
        <w:t>AEP Texas</w:t>
      </w:r>
      <w:r w:rsidRPr="00BD2206">
        <w:t xml:space="preserve"> will file with the Commission for each series of </w:t>
      </w:r>
      <w:r w:rsidR="00A56180" w:rsidRPr="00BD2206">
        <w:t xml:space="preserve">system restoration </w:t>
      </w:r>
      <w:r w:rsidRPr="00BD2206">
        <w:t xml:space="preserve">bonds issued, and no later than the end of the first business day after the pricing date for that series of </w:t>
      </w:r>
      <w:r w:rsidR="00F65FC2" w:rsidRPr="00BD2206">
        <w:t xml:space="preserve">system restoration </w:t>
      </w:r>
      <w:r w:rsidRPr="00BD2206">
        <w:t xml:space="preserve">bonds, an issuance advice letter.  </w:t>
      </w:r>
      <w:r w:rsidR="00F65FC2" w:rsidRPr="00BD2206">
        <w:t>The issuance advice letter will include AEP Texas’ best estimate of total up-front qualified costs for such issuance.  The estimated total up-front qualified costs in the issuance advice letter may be included in the principal amount securitized, subject to the cap on up-front qualified costs as described in Ordering Paragraph 17 of this Financing Order.  Within 60 days of issuance of the system restoration bonds, AEP Texas shall submit to the Commission a final accounting of the total up-front qualified costs.  The issuance advice letter will report the actual dollar amount of the initial system restoration charges and other information specific to the system restoration bonds to be issued.  AEP Texas’ issuance advice letter shall update the benefits analysis to verify that the final amount securitized satisfies the statutory financial tests.  All amounts that require computation will be computed using the mathematical formulas contained in the form of the issuance advice letter in Appendix A to this Financing Order and Schedule SRC.  The initial system restoration charges and the final terms of the system restoration bonds set forth in the issuance advice letter shall become effective on the date of issuance of the system restoration bonds unless prior to noon on the fourth business day after pricing the Commission issues an order finding that the proposed issuance does not comply with the requirements of PURA and this Financing Order</w:t>
      </w:r>
      <w:r w:rsidRPr="00BD2206">
        <w:t xml:space="preserve">.  </w:t>
      </w:r>
      <w:bookmarkEnd w:id="403"/>
      <w:bookmarkEnd w:id="404"/>
    </w:p>
    <w:p w14:paraId="124193DA" w14:textId="0C55796B" w:rsidR="00F65FC2" w:rsidRPr="00BD2206" w:rsidRDefault="00F65FC2" w:rsidP="003631D6">
      <w:pPr>
        <w:pStyle w:val="FOFNumbered"/>
      </w:pPr>
      <w:r w:rsidRPr="00BD2206">
        <w:t xml:space="preserve">If the actual up-front qualified costs are less than the up-front qualified costs included in the principal amount securitized, the Periodic Billing Requirement, defined below, for the first annual true-up adjustment shall be reduced by the amount of such unused funds (together with interest, if any, earned on the investment of such funds).  If the actual up-front qualified costs are more than the up-front qualified costs included in the principal amount securitized, </w:t>
      </w:r>
      <w:r w:rsidR="00206B31" w:rsidRPr="00BD2206">
        <w:t>AEP Texas</w:t>
      </w:r>
      <w:r w:rsidRPr="00BD2206">
        <w:t xml:space="preserve"> may request recovery of the remaining up-front qualified costs through a surcharge to </w:t>
      </w:r>
      <w:r w:rsidR="00206B31" w:rsidRPr="00BD2206">
        <w:t>AEP Texas’</w:t>
      </w:r>
      <w:r w:rsidRPr="00BD2206">
        <w:t xml:space="preserve"> rates for distribution service, provided, however, that the recoverable aggregate costs (including amounts that were securitized) for those up-front qualified costs shall not exceed the cap on up-front qualified costs as described in Ordering Paragraph 17 of this Financing Order.  In seeking to recover such costs, </w:t>
      </w:r>
      <w:r w:rsidR="00206B31" w:rsidRPr="00BD2206">
        <w:t>AEP Texas</w:t>
      </w:r>
      <w:r w:rsidRPr="00BD2206">
        <w:t xml:space="preserve"> should be required to prove that the costs were prudently incurred, and reasonable and necessary.</w:t>
      </w:r>
    </w:p>
    <w:p w14:paraId="78D1C54B" w14:textId="77777777" w:rsidR="003631D6" w:rsidRPr="00BD2206" w:rsidRDefault="00DA6854" w:rsidP="003631D6">
      <w:pPr>
        <w:pStyle w:val="FOFNumbered"/>
      </w:pPr>
      <w:r w:rsidRPr="00BD2206">
        <w:t>AEP Texas</w:t>
      </w:r>
      <w:r w:rsidR="003631D6" w:rsidRPr="00BD2206">
        <w:t xml:space="preserve"> will submit a draft issuance advice letter to the Commission Staff for review not later than two weeks prior to the expected date of commencement of marketing each series of </w:t>
      </w:r>
      <w:r w:rsidR="00F65FC2" w:rsidRPr="00BD2206">
        <w:t xml:space="preserve">system restoration </w:t>
      </w:r>
      <w:r w:rsidR="003631D6" w:rsidRPr="00BD2206">
        <w:t xml:space="preserve">bonds.  Within one week after receipt of the draft issuance advice letter, Commission Staff will provide </w:t>
      </w:r>
      <w:r w:rsidRPr="00BD2206">
        <w:t>AEP Texas</w:t>
      </w:r>
      <w:r w:rsidR="003631D6" w:rsidRPr="00BD2206">
        <w:t xml:space="preserve"> comments and recommendations regarding the adequacy of the information provided.</w:t>
      </w:r>
    </w:p>
    <w:p w14:paraId="228AC9CE" w14:textId="77777777" w:rsidR="003631D6" w:rsidRPr="00BD2206" w:rsidRDefault="003631D6" w:rsidP="003631D6">
      <w:pPr>
        <w:pStyle w:val="FOFNumbered"/>
      </w:pPr>
      <w:r w:rsidRPr="00BD2206">
        <w:t xml:space="preserve">The issuance advice letter for a series of </w:t>
      </w:r>
      <w:r w:rsidR="00F65FC2" w:rsidRPr="00BD2206">
        <w:t xml:space="preserve">system restoration </w:t>
      </w:r>
      <w:r w:rsidRPr="00BD2206">
        <w:t xml:space="preserve">bonds shall be submitted to the Commission not later than the end of the first business day after the pricing of such series of </w:t>
      </w:r>
      <w:r w:rsidR="00F65FC2" w:rsidRPr="00BD2206">
        <w:t xml:space="preserve">system restoration </w:t>
      </w:r>
      <w:r w:rsidRPr="00BD2206">
        <w:t xml:space="preserve">bonds.  Commission Staff may request such revisions of the issuance advice letter as may be necessary to assure the accuracy of the calculations and that the requirements of PURA and of this Financing Order have been met.  The initial </w:t>
      </w:r>
      <w:r w:rsidR="00F65FC2" w:rsidRPr="00BD2206">
        <w:t xml:space="preserve">system restoration </w:t>
      </w:r>
      <w:r w:rsidRPr="00BD2206">
        <w:t xml:space="preserve">charges and the final terms of the </w:t>
      </w:r>
      <w:r w:rsidR="00A56180" w:rsidRPr="00BD2206">
        <w:t xml:space="preserve">system restoration </w:t>
      </w:r>
      <w:r w:rsidRPr="00BD2206">
        <w:t xml:space="preserve">bonds set forth in the issuance advice letter shall become effective on the date of issuance of the </w:t>
      </w:r>
      <w:r w:rsidR="00F65FC2" w:rsidRPr="00BD2206">
        <w:t xml:space="preserve">system restoration </w:t>
      </w:r>
      <w:r w:rsidRPr="00BD2206">
        <w:t>bonds (which shall not occur prior to the fifth business day after pricing) unless prior to noon on the fourth business day after pricing the Commission issues an order finding that the proposed issuance does not comply with the requirements of PURA and the Financing Order.</w:t>
      </w:r>
      <w:bookmarkStart w:id="405" w:name="_Toc83701884"/>
      <w:bookmarkStart w:id="406" w:name="_Toc83703737"/>
    </w:p>
    <w:p w14:paraId="416CAB8B" w14:textId="4AA3E0D4" w:rsidR="003631D6" w:rsidRPr="00BD2206" w:rsidRDefault="003631D6" w:rsidP="003631D6">
      <w:pPr>
        <w:pStyle w:val="FOFNumbered"/>
        <w:tabs>
          <w:tab w:val="left" w:pos="720"/>
        </w:tabs>
      </w:pPr>
      <w:r w:rsidRPr="00BD2206">
        <w:t xml:space="preserve">The completion and filing of an issuance advice letter in the form of the issuance advice letter attached as Appendix A, including the certification from </w:t>
      </w:r>
      <w:r w:rsidR="00DA6854" w:rsidRPr="00BD2206">
        <w:t>AEP Texas</w:t>
      </w:r>
      <w:r w:rsidRPr="00BD2206">
        <w:t xml:space="preserve"> discussed in Finding</w:t>
      </w:r>
      <w:r w:rsidR="00A910E1" w:rsidRPr="00BD2206">
        <w:t>s</w:t>
      </w:r>
      <w:r w:rsidRPr="00BD2206">
        <w:t xml:space="preserve"> of Fact Nos. 2</w:t>
      </w:r>
      <w:r w:rsidR="004C36D0" w:rsidRPr="00BD2206">
        <w:t>7</w:t>
      </w:r>
      <w:r w:rsidRPr="00BD2206">
        <w:t xml:space="preserve"> and 9</w:t>
      </w:r>
      <w:r w:rsidR="004C36D0" w:rsidRPr="00BD2206">
        <w:t>6</w:t>
      </w:r>
      <w:r w:rsidRPr="00BD2206">
        <w:t xml:space="preserve">, is necessary to ensure that any securitization actually undertaken by </w:t>
      </w:r>
      <w:r w:rsidR="00DA6854" w:rsidRPr="00BD2206">
        <w:t>AEP Texas</w:t>
      </w:r>
      <w:r w:rsidRPr="00BD2206">
        <w:t xml:space="preserve"> complies with the terms of this Financing Order.</w:t>
      </w:r>
      <w:bookmarkEnd w:id="405"/>
      <w:bookmarkEnd w:id="406"/>
    </w:p>
    <w:p w14:paraId="00FDC6D2" w14:textId="77777777" w:rsidR="003631D6" w:rsidRPr="00BD2206" w:rsidRDefault="003631D6" w:rsidP="003631D6">
      <w:pPr>
        <w:pStyle w:val="FOFNumbered"/>
      </w:pPr>
      <w:r w:rsidRPr="00BD2206">
        <w:t xml:space="preserve">The certification statement contained in </w:t>
      </w:r>
      <w:r w:rsidR="00DA6854" w:rsidRPr="00BD2206">
        <w:t>AEP Texas</w:t>
      </w:r>
      <w:r w:rsidR="00F65FC2" w:rsidRPr="00BD2206">
        <w:t>’</w:t>
      </w:r>
      <w:r w:rsidRPr="00BD2206">
        <w:t xml:space="preserve"> certification letter shall be worded precisely as the statement in the form of the issuance advice letter approved by the Commission.  Other aspects of the certification letter may be modified to describe the particulars of the </w:t>
      </w:r>
      <w:r w:rsidR="00A56180" w:rsidRPr="00BD2206">
        <w:t xml:space="preserve">system restoration </w:t>
      </w:r>
      <w:r w:rsidRPr="00BD2206">
        <w:t>bonds and the actions that were taken during the transaction.</w:t>
      </w:r>
    </w:p>
    <w:p w14:paraId="22C1192B" w14:textId="77777777" w:rsidR="003631D6" w:rsidRPr="00BD2206" w:rsidRDefault="003631D6" w:rsidP="003631D6">
      <w:pPr>
        <w:pStyle w:val="Heading3"/>
      </w:pPr>
      <w:bookmarkStart w:id="407" w:name="_Toc88378137"/>
      <w:bookmarkStart w:id="408" w:name="_Toc88379109"/>
      <w:bookmarkStart w:id="409" w:name="_Toc88379331"/>
      <w:bookmarkStart w:id="410" w:name="_Toc88379551"/>
      <w:bookmarkStart w:id="411" w:name="_Toc88379769"/>
      <w:bookmarkStart w:id="412" w:name="_Toc88379957"/>
      <w:bookmarkStart w:id="413" w:name="_Toc88380140"/>
      <w:bookmarkStart w:id="414" w:name="_Toc88380270"/>
      <w:bookmarkStart w:id="415" w:name="_Toc88380427"/>
      <w:bookmarkStart w:id="416" w:name="_Toc88380519"/>
      <w:bookmarkStart w:id="417" w:name="_Toc88380611"/>
      <w:bookmarkStart w:id="418" w:name="_Toc97535661"/>
      <w:bookmarkStart w:id="419" w:name="_Toc158028392"/>
      <w:bookmarkStart w:id="420" w:name="_Toc177539443"/>
      <w:bookmarkStart w:id="421" w:name="_Toc2778496"/>
      <w:r w:rsidRPr="00BD2206">
        <w:t>Tangible and Quantifiable Benefit</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64EF46E9" w14:textId="2E4921D6" w:rsidR="003631D6" w:rsidRPr="00BD2206" w:rsidRDefault="003631D6" w:rsidP="003631D6">
      <w:pPr>
        <w:pStyle w:val="FOFNumbered"/>
      </w:pPr>
      <w:bookmarkStart w:id="422" w:name="_Toc83701885"/>
      <w:bookmarkStart w:id="423" w:name="_Toc83703739"/>
      <w:bookmarkStart w:id="424" w:name="_Ref138485303"/>
      <w:r w:rsidRPr="00BD2206">
        <w:t xml:space="preserve">The statutory requirement in PURA </w:t>
      </w:r>
      <w:r w:rsidR="00886F78" w:rsidRPr="00BD2206">
        <w:t>§§ 36.401 and</w:t>
      </w:r>
      <w:r w:rsidRPr="00BD2206">
        <w:t xml:space="preserve"> 39.301 that directs the Commission to ensure that securitization provides tangible and quantifiable benefits to </w:t>
      </w:r>
      <w:r w:rsidR="00824E79" w:rsidRPr="00BD2206">
        <w:t xml:space="preserve">ratepayers </w:t>
      </w:r>
      <w:r w:rsidRPr="00BD2206">
        <w:t xml:space="preserve">greater than would be achieved absent the issuance of </w:t>
      </w:r>
      <w:r w:rsidR="00886F78" w:rsidRPr="00BD2206">
        <w:t>system restoration</w:t>
      </w:r>
      <w:r w:rsidRPr="00BD2206">
        <w:t xml:space="preserve"> bonds can only be determined using an economic analysis to account for the time value of money.  </w:t>
      </w:r>
      <w:bookmarkEnd w:id="422"/>
      <w:bookmarkEnd w:id="423"/>
      <w:r w:rsidR="00886F78" w:rsidRPr="00BD2206">
        <w:t>An analysis that compares in the aggregate</w:t>
      </w:r>
      <w:r w:rsidR="007F0470" w:rsidRPr="00BD2206">
        <w:t>,</w:t>
      </w:r>
      <w:r w:rsidR="00886F78" w:rsidRPr="00BD2206">
        <w:t xml:space="preserve"> over the expected life of the system restoration bonds</w:t>
      </w:r>
      <w:r w:rsidR="007F0470" w:rsidRPr="00BD2206">
        <w:t>,</w:t>
      </w:r>
      <w:r w:rsidR="00886F78" w:rsidRPr="00BD2206">
        <w:t xml:space="preserve"> the present value of the revenue requirement associated with recovery of the </w:t>
      </w:r>
      <w:proofErr w:type="spellStart"/>
      <w:r w:rsidR="00886F78" w:rsidRPr="00BD2206">
        <w:t>Securitizable</w:t>
      </w:r>
      <w:proofErr w:type="spellEnd"/>
      <w:r w:rsidR="00886F78" w:rsidRPr="00BD2206">
        <w:t xml:space="preserve"> Balance through rates reflective of conventional utility financing, with the present value of the revenue required under securitization</w:t>
      </w:r>
      <w:r w:rsidR="007F0470" w:rsidRPr="00BD2206">
        <w:t>,</w:t>
      </w:r>
      <w:r w:rsidR="00886F78" w:rsidRPr="00BD2206">
        <w:t xml:space="preserve"> is an appropriate economic analysis to demonstrate whether securitization provides economic benefits to ratepayers</w:t>
      </w:r>
      <w:r w:rsidRPr="00BD2206">
        <w:t>.</w:t>
      </w:r>
      <w:bookmarkStart w:id="425" w:name="_Toc83701886"/>
      <w:bookmarkStart w:id="426" w:name="_Toc83703740"/>
      <w:bookmarkEnd w:id="424"/>
    </w:p>
    <w:bookmarkEnd w:id="425"/>
    <w:bookmarkEnd w:id="426"/>
    <w:p w14:paraId="4A803824" w14:textId="2149F6E3" w:rsidR="003631D6" w:rsidRPr="00BD2206" w:rsidRDefault="00DB41E1" w:rsidP="003631D6">
      <w:pPr>
        <w:pStyle w:val="FOFNumbered"/>
      </w:pPr>
      <w:r w:rsidRPr="00BD2206">
        <w:t xml:space="preserve">The financial analysis presented </w:t>
      </w:r>
      <w:r w:rsidR="005C4946" w:rsidRPr="00BD2206">
        <w:t xml:space="preserve">by </w:t>
      </w:r>
      <w:r w:rsidRPr="00BD2206">
        <w:t xml:space="preserve">AEP Texas indicates that securitization of the </w:t>
      </w:r>
      <w:proofErr w:type="spellStart"/>
      <w:r w:rsidRPr="00BD2206">
        <w:t>Securitizable</w:t>
      </w:r>
      <w:proofErr w:type="spellEnd"/>
      <w:r w:rsidRPr="00BD2206">
        <w:t xml:space="preserve"> Balance and other qualified costs as requested by AEP Texas would result in approximately </w:t>
      </w:r>
      <w:r w:rsidR="0003693A" w:rsidRPr="00BD2206">
        <w:t>$</w:t>
      </w:r>
      <w:r w:rsidR="009A5528" w:rsidRPr="00BD2206">
        <w:t>19.7</w:t>
      </w:r>
      <w:r w:rsidR="0003693A" w:rsidRPr="00BD2206">
        <w:t xml:space="preserve"> </w:t>
      </w:r>
      <w:r w:rsidRPr="00BD2206">
        <w:t xml:space="preserve">million of tangible and quantifiable economic benefits to ratepayers on a present value basis if the system restoration bonds are issued at an average weighted average interest rate of </w:t>
      </w:r>
      <w:r w:rsidR="009A5528" w:rsidRPr="00BD2206">
        <w:t>6.00</w:t>
      </w:r>
      <w:r w:rsidR="0003693A" w:rsidRPr="00BD2206">
        <w:t xml:space="preserve">% </w:t>
      </w:r>
      <w:r w:rsidRPr="00BD2206">
        <w:t>allowed by this Financing Order and with a 1</w:t>
      </w:r>
      <w:r w:rsidR="0003693A" w:rsidRPr="00BD2206">
        <w:t>0</w:t>
      </w:r>
      <w:r w:rsidRPr="00BD2206">
        <w:t xml:space="preserve">-year expected life.  Using the projected weighted average interest rate of </w:t>
      </w:r>
      <w:r w:rsidR="0003693A" w:rsidRPr="00BD2206">
        <w:t xml:space="preserve">3.48% </w:t>
      </w:r>
      <w:r w:rsidRPr="00BD2206">
        <w:t>and a 1</w:t>
      </w:r>
      <w:r w:rsidR="0003693A" w:rsidRPr="00BD2206">
        <w:t>0</w:t>
      </w:r>
      <w:r w:rsidRPr="00BD2206">
        <w:t xml:space="preserve">-year expected life, the benefits of securitization would be approximately </w:t>
      </w:r>
      <w:r w:rsidRPr="00BD2206">
        <w:br/>
      </w:r>
      <w:r w:rsidR="000303F9" w:rsidRPr="00BD2206">
        <w:t>$52</w:t>
      </w:r>
      <w:r w:rsidR="00303967" w:rsidRPr="00BD2206">
        <w:t>.4</w:t>
      </w:r>
      <w:r w:rsidR="000303F9" w:rsidRPr="00BD2206">
        <w:t xml:space="preserve"> </w:t>
      </w:r>
      <w:r w:rsidRPr="00BD2206">
        <w:t>million</w:t>
      </w:r>
      <w:r w:rsidR="007F0470" w:rsidRPr="00BD2206">
        <w:t xml:space="preserve"> on a present value basis</w:t>
      </w:r>
      <w:r w:rsidRPr="00BD2206">
        <w:t xml:space="preserve">.  These estimates use AEP Texas’ </w:t>
      </w:r>
      <w:proofErr w:type="spellStart"/>
      <w:r w:rsidRPr="00BD2206">
        <w:t>Securitizable</w:t>
      </w:r>
      <w:proofErr w:type="spellEnd"/>
      <w:r w:rsidRPr="00BD2206">
        <w:t xml:space="preserve"> Balance as of </w:t>
      </w:r>
      <w:r w:rsidR="000303F9" w:rsidRPr="00BD2206">
        <w:t>May 2019 ($22</w:t>
      </w:r>
      <w:r w:rsidR="00D8137B" w:rsidRPr="00BD2206">
        <w:t>4.9</w:t>
      </w:r>
      <w:r w:rsidR="000303F9" w:rsidRPr="00BD2206">
        <w:t xml:space="preserve"> </w:t>
      </w:r>
      <w:r w:rsidRPr="00BD2206">
        <w:t xml:space="preserve">million), as approved in Docket No. 48577, and assume that actual up-front and ongoing qualified costs will be as shown on Appendix C to this Financing Order.  The benefits for retail </w:t>
      </w:r>
      <w:r w:rsidR="00824E79" w:rsidRPr="00BD2206">
        <w:t>customers</w:t>
      </w:r>
      <w:r w:rsidRPr="00BD2206">
        <w:t xml:space="preserve"> set forth in AEP Texas’ evidence are fully indicative of the benefits </w:t>
      </w:r>
      <w:r w:rsidR="00824E79" w:rsidRPr="00BD2206">
        <w:t xml:space="preserve">ratepayers </w:t>
      </w:r>
      <w:r w:rsidRPr="00BD2206">
        <w:t>will realize from the securitization approved in this Financing Order; however, the actual benefit to ratepayers will depend upon market conditions on the date of issuance of the system restoration bonds, the actual scheduled maturity of the system restoration bonds, and the amount actually securitized.  AEP Texas will be required to provide an updated tangible and quantifiable benefits analysis in its issuance advice letter to verify that this statutory test is met</w:t>
      </w:r>
      <w:r w:rsidR="003631D6" w:rsidRPr="00BD2206">
        <w:t>.</w:t>
      </w:r>
    </w:p>
    <w:p w14:paraId="33F696FE" w14:textId="77777777" w:rsidR="003631D6" w:rsidRPr="00BD2206" w:rsidRDefault="003631D6" w:rsidP="003631D6">
      <w:pPr>
        <w:pStyle w:val="Heading3"/>
      </w:pPr>
      <w:bookmarkStart w:id="427" w:name="_Toc88378138"/>
      <w:bookmarkStart w:id="428" w:name="_Toc88379110"/>
      <w:bookmarkStart w:id="429" w:name="_Toc88379332"/>
      <w:bookmarkStart w:id="430" w:name="_Toc88379552"/>
      <w:bookmarkStart w:id="431" w:name="_Toc88379770"/>
      <w:bookmarkStart w:id="432" w:name="_Toc88379958"/>
      <w:bookmarkStart w:id="433" w:name="_Toc88380141"/>
      <w:bookmarkStart w:id="434" w:name="_Toc88380271"/>
      <w:bookmarkStart w:id="435" w:name="_Toc88380428"/>
      <w:bookmarkStart w:id="436" w:name="_Toc88380520"/>
      <w:bookmarkStart w:id="437" w:name="_Toc88380612"/>
      <w:bookmarkStart w:id="438" w:name="_Toc97535662"/>
      <w:bookmarkStart w:id="439" w:name="_Toc158028393"/>
      <w:bookmarkStart w:id="440" w:name="_Toc177539444"/>
      <w:bookmarkStart w:id="441" w:name="_Toc2778497"/>
      <w:r w:rsidRPr="00BD2206">
        <w:t>Present Value Cap</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160B66EB" w14:textId="352E1246" w:rsidR="003631D6" w:rsidRPr="00BD2206" w:rsidRDefault="00DB41E1" w:rsidP="003631D6">
      <w:pPr>
        <w:pStyle w:val="FOFNumbered"/>
      </w:pPr>
      <w:r w:rsidRPr="00BD2206">
        <w:t>The amount securitized may not exceed the present value of the revenue requirement over the life of the proposed system restoration bonds associated with conventional (</w:t>
      </w:r>
      <w:r w:rsidRPr="00BD2206">
        <w:rPr>
          <w:i/>
        </w:rPr>
        <w:t>i.e</w:t>
      </w:r>
      <w:r w:rsidRPr="00BD2206">
        <w:t>., non-securitized) recovery of the authorized amounts where the present value analysis uses a discount rate equal to the proposed interest rate on the system restoration bonds.</w:t>
      </w:r>
      <w:r w:rsidRPr="00BD2206">
        <w:rPr>
          <w:rStyle w:val="FootnoteReference"/>
        </w:rPr>
        <w:footnoteReference w:id="54"/>
      </w:r>
      <w:r w:rsidRPr="00BD2206">
        <w:t xml:space="preserve">  The analysis presented by AEP Texas demonstrates that the proposed securitization meets this requirement whether the system restoration bonds are assumed to bear interest at a weighted average interest rate of </w:t>
      </w:r>
      <w:r w:rsidR="00F75703" w:rsidRPr="00BD2206">
        <w:t>6.00</w:t>
      </w:r>
      <w:r w:rsidR="000303F9" w:rsidRPr="00BD2206">
        <w:t xml:space="preserve">%, </w:t>
      </w:r>
      <w:r w:rsidRPr="00BD2206">
        <w:t xml:space="preserve">at the projected weighted average interest rate of </w:t>
      </w:r>
      <w:r w:rsidR="000303F9" w:rsidRPr="00BD2206">
        <w:t xml:space="preserve">3.48%, </w:t>
      </w:r>
      <w:r w:rsidRPr="00BD2206">
        <w:t xml:space="preserve">or at other interest rates less than </w:t>
      </w:r>
      <w:r w:rsidR="00F75703" w:rsidRPr="00BD2206">
        <w:t>6.00</w:t>
      </w:r>
      <w:r w:rsidR="000303F9" w:rsidRPr="00BD2206">
        <w:t xml:space="preserve">%.  </w:t>
      </w:r>
      <w:r w:rsidRPr="00BD2206">
        <w:t xml:space="preserve">Using a </w:t>
      </w:r>
      <w:r w:rsidR="000303F9" w:rsidRPr="00BD2206">
        <w:t xml:space="preserve">3.48% </w:t>
      </w:r>
      <w:r w:rsidRPr="00BD2206">
        <w:t>weighted average interest rate, the present value of the revenue requirement</w:t>
      </w:r>
      <w:r w:rsidR="00894D13" w:rsidRPr="00BD2206">
        <w:t xml:space="preserve"> </w:t>
      </w:r>
      <w:r w:rsidRPr="00BD2206">
        <w:t>s</w:t>
      </w:r>
      <w:r w:rsidR="00894D13" w:rsidRPr="00BD2206">
        <w:t>avings</w:t>
      </w:r>
      <w:r w:rsidRPr="00BD2206">
        <w:t xml:space="preserve"> would be approximately </w:t>
      </w:r>
      <w:r w:rsidR="000303F9" w:rsidRPr="00BD2206">
        <w:t>$52</w:t>
      </w:r>
      <w:r w:rsidR="00303967" w:rsidRPr="00BD2206">
        <w:t>.4</w:t>
      </w:r>
      <w:r w:rsidR="000303F9" w:rsidRPr="00BD2206">
        <w:t xml:space="preserve"> </w:t>
      </w:r>
      <w:r w:rsidRPr="00BD2206">
        <w:t xml:space="preserve">million.  At the higher interest rate of </w:t>
      </w:r>
      <w:r w:rsidR="00F75703" w:rsidRPr="00BD2206">
        <w:t>6.00</w:t>
      </w:r>
      <w:r w:rsidR="000303F9" w:rsidRPr="00BD2206">
        <w:t xml:space="preserve">%, </w:t>
      </w:r>
      <w:r w:rsidRPr="00BD2206">
        <w:t>the present value of the revenue requirement</w:t>
      </w:r>
      <w:r w:rsidR="00894D13" w:rsidRPr="00BD2206">
        <w:t xml:space="preserve"> </w:t>
      </w:r>
      <w:r w:rsidRPr="00BD2206">
        <w:t>s</w:t>
      </w:r>
      <w:r w:rsidR="00894D13" w:rsidRPr="00BD2206">
        <w:t>avings</w:t>
      </w:r>
      <w:r w:rsidRPr="00BD2206">
        <w:t xml:space="preserve"> would be approximately </w:t>
      </w:r>
      <w:r w:rsidR="000303F9" w:rsidRPr="00BD2206">
        <w:t>$</w:t>
      </w:r>
      <w:r w:rsidR="00F75703" w:rsidRPr="00BD2206">
        <w:t>19.7</w:t>
      </w:r>
      <w:r w:rsidR="000303F9" w:rsidRPr="00BD2206">
        <w:t xml:space="preserve"> </w:t>
      </w:r>
      <w:r w:rsidRPr="00BD2206">
        <w:t xml:space="preserve">million.  These estimates use AEP Texas’ </w:t>
      </w:r>
      <w:proofErr w:type="spellStart"/>
      <w:r w:rsidRPr="00BD2206">
        <w:t>Securitizable</w:t>
      </w:r>
      <w:proofErr w:type="spellEnd"/>
      <w:r w:rsidRPr="00BD2206">
        <w:t xml:space="preserve"> Balance as of </w:t>
      </w:r>
      <w:r w:rsidR="000303F9" w:rsidRPr="00BD2206">
        <w:t xml:space="preserve">May 2019 </w:t>
      </w:r>
      <w:r w:rsidRPr="00BD2206">
        <w:t>as approved in Docket No. 48577, a</w:t>
      </w:r>
      <w:r w:rsidR="000303F9" w:rsidRPr="00BD2206">
        <w:t>n</w:t>
      </w:r>
      <w:r w:rsidRPr="00BD2206">
        <w:t xml:space="preserve"> expected life of 1</w:t>
      </w:r>
      <w:r w:rsidR="000303F9" w:rsidRPr="00BD2206">
        <w:t>0</w:t>
      </w:r>
      <w:r w:rsidRPr="00BD2206">
        <w:t xml:space="preserve"> years, and assume that actual up-front and ongoing qualified costs will be as estimated on Appendix C to this Financing Order.  The benefits for </w:t>
      </w:r>
      <w:r w:rsidR="00824E79" w:rsidRPr="00BD2206">
        <w:t xml:space="preserve">ratepayers </w:t>
      </w:r>
      <w:r w:rsidRPr="00BD2206">
        <w:t xml:space="preserve">set forth in AEP Texas’ evidence are fully indicative of the benefits </w:t>
      </w:r>
      <w:r w:rsidR="00824E79" w:rsidRPr="00BD2206">
        <w:t xml:space="preserve">ratepayers </w:t>
      </w:r>
      <w:r w:rsidRPr="00BD2206">
        <w:t>will realize from the securitization approved in this Financing Order; however, AEP Texas will be required to provide an updated present value analysis in its issuance advice letter to verify that this statutory test is met</w:t>
      </w:r>
      <w:r w:rsidR="003631D6" w:rsidRPr="00BD2206">
        <w:t>.</w:t>
      </w:r>
      <w:bookmarkStart w:id="442" w:name="_Toc83701889"/>
      <w:bookmarkStart w:id="443" w:name="_Toc83703744"/>
    </w:p>
    <w:p w14:paraId="4E77F447" w14:textId="77777777" w:rsidR="003631D6" w:rsidRPr="00BD2206" w:rsidRDefault="003631D6" w:rsidP="003631D6">
      <w:pPr>
        <w:pStyle w:val="Heading3"/>
      </w:pPr>
      <w:bookmarkStart w:id="444" w:name="_Toc88378139"/>
      <w:bookmarkStart w:id="445" w:name="_Toc88379111"/>
      <w:bookmarkStart w:id="446" w:name="_Toc88379333"/>
      <w:bookmarkStart w:id="447" w:name="_Toc88379553"/>
      <w:bookmarkStart w:id="448" w:name="_Toc88379771"/>
      <w:bookmarkStart w:id="449" w:name="_Toc88379959"/>
      <w:bookmarkStart w:id="450" w:name="_Toc88380142"/>
      <w:bookmarkStart w:id="451" w:name="_Toc88380272"/>
      <w:bookmarkStart w:id="452" w:name="_Toc88380429"/>
      <w:bookmarkStart w:id="453" w:name="_Toc88380521"/>
      <w:bookmarkStart w:id="454" w:name="_Toc88380613"/>
      <w:bookmarkStart w:id="455" w:name="_Toc97535663"/>
      <w:bookmarkStart w:id="456" w:name="_Toc158028394"/>
      <w:bookmarkStart w:id="457" w:name="_Toc177539445"/>
      <w:bookmarkStart w:id="458" w:name="_Toc2778498"/>
      <w:bookmarkEnd w:id="442"/>
      <w:bookmarkEnd w:id="443"/>
      <w:r w:rsidRPr="00BD2206">
        <w:t>Total Amount of Revenue to be Recovered</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6AE31664" w14:textId="6AA06365" w:rsidR="003631D6" w:rsidRPr="00BD2206" w:rsidRDefault="00035D71" w:rsidP="003631D6">
      <w:pPr>
        <w:pStyle w:val="FOFNumbered"/>
      </w:pPr>
      <w:bookmarkStart w:id="459" w:name="_Ref138485316"/>
      <w:r w:rsidRPr="00BD2206">
        <w:t>The Commission is required to find that the total amount of revenues to be collected under this Financing Order will be less than the revenue requirement that would be recovered over the life of the amounts that are securitized under this Financing Order, using conventional financing methods.</w:t>
      </w:r>
      <w:r w:rsidRPr="00BD2206">
        <w:rPr>
          <w:rStyle w:val="FootnoteReference"/>
        </w:rPr>
        <w:footnoteReference w:id="55"/>
      </w:r>
      <w:r w:rsidRPr="00BD2206">
        <w:t xml:space="preserve">  AEP Texas’ analysis assumed that under conventional financing methods, the costs would be recovered over the life of the system restoration bonds (for purposes of its analysis, 1</w:t>
      </w:r>
      <w:r w:rsidR="000303F9" w:rsidRPr="00BD2206">
        <w:t>0</w:t>
      </w:r>
      <w:r w:rsidRPr="00BD2206">
        <w:t xml:space="preserve"> years) with carrying costs equal to </w:t>
      </w:r>
      <w:r w:rsidR="00D8137B" w:rsidRPr="00BD2206">
        <w:t>AEP Texas’ weighted-average cost of capital of 7.4992%</w:t>
      </w:r>
      <w:r w:rsidR="000303F9" w:rsidRPr="00BD2206">
        <w:t xml:space="preserve">.  </w:t>
      </w:r>
      <w:r w:rsidRPr="00BD2206">
        <w:t xml:space="preserve">The resulting total conventional revenues would be </w:t>
      </w:r>
      <w:r w:rsidR="00B1425F" w:rsidRPr="00BD2206">
        <w:t>$34</w:t>
      </w:r>
      <w:r w:rsidR="00492A8C">
        <w:t>3.6</w:t>
      </w:r>
      <w:r w:rsidR="00B1425F" w:rsidRPr="00BD2206">
        <w:t xml:space="preserve"> </w:t>
      </w:r>
      <w:r w:rsidR="007F2651" w:rsidRPr="00BD2206">
        <w:t>m</w:t>
      </w:r>
      <w:r w:rsidRPr="00BD2206">
        <w:t>illion.  If 1</w:t>
      </w:r>
      <w:r w:rsidR="00B1425F" w:rsidRPr="00BD2206">
        <w:t>0</w:t>
      </w:r>
      <w:r w:rsidRPr="00BD2206">
        <w:t xml:space="preserve">-year system restoration bonds are issued at a </w:t>
      </w:r>
      <w:r w:rsidR="00F75703" w:rsidRPr="00BD2206">
        <w:t>6.00</w:t>
      </w:r>
      <w:r w:rsidR="00B1425F" w:rsidRPr="00BD2206">
        <w:t xml:space="preserve">% </w:t>
      </w:r>
      <w:r w:rsidRPr="00BD2206">
        <w:t xml:space="preserve">weighted average interest rate, AEP Texas’ financial analysis indicates that the total amount of revenues to be collected under this Financing Order is expected to be approximately </w:t>
      </w:r>
      <w:r w:rsidR="00B1425F" w:rsidRPr="00BD2206">
        <w:t>$</w:t>
      </w:r>
      <w:r w:rsidR="00F75703" w:rsidRPr="00BD2206">
        <w:t>26.8</w:t>
      </w:r>
      <w:r w:rsidR="00B1425F" w:rsidRPr="00BD2206">
        <w:t xml:space="preserve"> </w:t>
      </w:r>
      <w:r w:rsidRPr="00BD2206">
        <w:t xml:space="preserve">million less than the revenue requirement that would be recovered using conventional utility financing methods.  Using the projected weighted average interest rate of </w:t>
      </w:r>
      <w:r w:rsidR="00B1425F" w:rsidRPr="00BD2206">
        <w:t xml:space="preserve">3.48%, </w:t>
      </w:r>
      <w:r w:rsidRPr="00BD2206">
        <w:t xml:space="preserve">the benefits of securitization would be approximately </w:t>
      </w:r>
      <w:r w:rsidR="00B1425F" w:rsidRPr="00BD2206">
        <w:t>$</w:t>
      </w:r>
      <w:r w:rsidR="00492A8C">
        <w:t>62.9</w:t>
      </w:r>
      <w:r w:rsidR="00B1425F" w:rsidRPr="00BD2206">
        <w:t xml:space="preserve"> </w:t>
      </w:r>
      <w:r w:rsidRPr="00BD2206">
        <w:t>million</w:t>
      </w:r>
      <w:r w:rsidR="00894D13" w:rsidRPr="00BD2206">
        <w:t xml:space="preserve"> on a nominal basis</w:t>
      </w:r>
      <w:r w:rsidRPr="00BD2206">
        <w:t xml:space="preserve">.  These estimates use AEP Texas’ </w:t>
      </w:r>
      <w:proofErr w:type="spellStart"/>
      <w:r w:rsidRPr="00BD2206">
        <w:t>Securitizable</w:t>
      </w:r>
      <w:proofErr w:type="spellEnd"/>
      <w:r w:rsidRPr="00BD2206">
        <w:t xml:space="preserve"> Balance as of </w:t>
      </w:r>
      <w:r w:rsidR="00492A8C">
        <w:t>May</w:t>
      </w:r>
      <w:r w:rsidR="00B1425F" w:rsidRPr="00BD2206">
        <w:t xml:space="preserve"> 2019, </w:t>
      </w:r>
      <w:r w:rsidRPr="00BD2206">
        <w:t>as approved in Docket No. 48577, a</w:t>
      </w:r>
      <w:r w:rsidR="00B1425F" w:rsidRPr="00BD2206">
        <w:t>n</w:t>
      </w:r>
      <w:r w:rsidRPr="00BD2206">
        <w:t xml:space="preserve"> expected life of 1</w:t>
      </w:r>
      <w:r w:rsidR="00B1425F" w:rsidRPr="00BD2206">
        <w:t>0</w:t>
      </w:r>
      <w:r w:rsidRPr="00BD2206">
        <w:t xml:space="preserve"> years, and assume that actual up-front and ongoing qualified costs will be as estimated on Appendix C to this Financing Order.  The benefits for retail </w:t>
      </w:r>
      <w:r w:rsidR="00824E79" w:rsidRPr="00BD2206">
        <w:t>customers</w:t>
      </w:r>
      <w:r w:rsidRPr="00BD2206">
        <w:t xml:space="preserve"> set forth in AEP Texas’ evidence are fully indicative of the benefits </w:t>
      </w:r>
      <w:r w:rsidR="00824E79" w:rsidRPr="00BD2206">
        <w:t xml:space="preserve">ratepayers </w:t>
      </w:r>
      <w:r w:rsidRPr="00BD2206">
        <w:t>will realize from the securitization approved in this Financing Order; however, AEP Texas will be required to provide an updated total revenue analysis in its issuance advice letter to verify that this statutory test is met</w:t>
      </w:r>
      <w:r w:rsidR="003631D6" w:rsidRPr="00BD2206">
        <w:t>.</w:t>
      </w:r>
      <w:bookmarkEnd w:id="459"/>
    </w:p>
    <w:p w14:paraId="24DEE8ED" w14:textId="77777777" w:rsidR="003631D6" w:rsidRPr="00BD2206" w:rsidRDefault="00B42FAC" w:rsidP="00B42FAC">
      <w:pPr>
        <w:pStyle w:val="Heading2"/>
      </w:pPr>
      <w:bookmarkStart w:id="460" w:name="_Toc97533909"/>
      <w:bookmarkStart w:id="461" w:name="_Toc97534779"/>
      <w:bookmarkStart w:id="462" w:name="_Toc97534921"/>
      <w:bookmarkStart w:id="463" w:name="_Toc97535664"/>
      <w:bookmarkStart w:id="464" w:name="_Toc97536609"/>
      <w:bookmarkStart w:id="465" w:name="_Toc88378140"/>
      <w:bookmarkStart w:id="466" w:name="_Toc88379112"/>
      <w:bookmarkStart w:id="467" w:name="_Toc88379334"/>
      <w:bookmarkStart w:id="468" w:name="_Toc88379554"/>
      <w:bookmarkStart w:id="469" w:name="_Toc88379772"/>
      <w:bookmarkStart w:id="470" w:name="_Toc88379960"/>
      <w:bookmarkStart w:id="471" w:name="_Toc88380143"/>
      <w:bookmarkStart w:id="472" w:name="_Toc88380273"/>
      <w:bookmarkStart w:id="473" w:name="_Toc88380430"/>
      <w:bookmarkStart w:id="474" w:name="_Toc88380522"/>
      <w:bookmarkStart w:id="475" w:name="_Toc88380614"/>
      <w:bookmarkStart w:id="476" w:name="_Toc97535665"/>
      <w:bookmarkStart w:id="477" w:name="_Toc158028395"/>
      <w:bookmarkStart w:id="478" w:name="_Toc177539446"/>
      <w:bookmarkEnd w:id="460"/>
      <w:bookmarkEnd w:id="461"/>
      <w:bookmarkEnd w:id="462"/>
      <w:bookmarkEnd w:id="463"/>
      <w:bookmarkEnd w:id="464"/>
      <w:r w:rsidRPr="00BD2206">
        <w:t xml:space="preserve">  </w:t>
      </w:r>
      <w:bookmarkStart w:id="479" w:name="_Toc2778499"/>
      <w:r w:rsidR="003631D6" w:rsidRPr="00BD2206">
        <w:t>Structure of the Proposed Securitization</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169A8379" w14:textId="77777777" w:rsidR="003631D6" w:rsidRPr="00BD2206" w:rsidRDefault="003631D6" w:rsidP="003631D6">
      <w:pPr>
        <w:pStyle w:val="Heading3"/>
      </w:pPr>
      <w:bookmarkStart w:id="480" w:name="_Toc88378141"/>
      <w:bookmarkStart w:id="481" w:name="_Toc88379113"/>
      <w:bookmarkStart w:id="482" w:name="_Toc88379335"/>
      <w:bookmarkStart w:id="483" w:name="_Toc88379555"/>
      <w:bookmarkStart w:id="484" w:name="_Toc88379773"/>
      <w:bookmarkStart w:id="485" w:name="_Toc88379961"/>
      <w:bookmarkStart w:id="486" w:name="_Toc88380144"/>
      <w:bookmarkStart w:id="487" w:name="_Toc88380274"/>
      <w:bookmarkStart w:id="488" w:name="_Toc88380431"/>
      <w:bookmarkStart w:id="489" w:name="_Toc88380523"/>
      <w:bookmarkStart w:id="490" w:name="_Toc88380615"/>
      <w:bookmarkStart w:id="491" w:name="_Toc97535666"/>
      <w:bookmarkStart w:id="492" w:name="_Toc177539447"/>
      <w:bookmarkStart w:id="493" w:name="_Toc2778500"/>
      <w:proofErr w:type="spellStart"/>
      <w:r w:rsidRPr="00BD2206">
        <w:t>BondCo</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roofErr w:type="spellEnd"/>
    </w:p>
    <w:p w14:paraId="40B27559" w14:textId="4B404F57" w:rsidR="003631D6" w:rsidRPr="00BD2206" w:rsidRDefault="003631D6" w:rsidP="003631D6">
      <w:pPr>
        <w:pStyle w:val="FOFNumbered"/>
      </w:pPr>
      <w:bookmarkStart w:id="494" w:name="_Toc83701892"/>
      <w:bookmarkStart w:id="495" w:name="_Toc83703749"/>
      <w:r w:rsidRPr="00BD2206">
        <w:t xml:space="preserve">For purposes of this securitization, </w:t>
      </w:r>
      <w:r w:rsidR="00DA6854" w:rsidRPr="00BD2206">
        <w:t>AEP Texas</w:t>
      </w:r>
      <w:r w:rsidRPr="00BD2206">
        <w:t xml:space="preserve"> will create one or more </w:t>
      </w:r>
      <w:proofErr w:type="spellStart"/>
      <w:r w:rsidRPr="00BD2206">
        <w:t>BondCo</w:t>
      </w:r>
      <w:r w:rsidR="007F2651" w:rsidRPr="00BD2206">
        <w:t>s</w:t>
      </w:r>
      <w:proofErr w:type="spellEnd"/>
      <w:r w:rsidRPr="00BD2206">
        <w:t>, a special purpose transition funding entity (each of which referred to as “</w:t>
      </w:r>
      <w:proofErr w:type="spellStart"/>
      <w:r w:rsidRPr="00BD2206">
        <w:t>BondCo</w:t>
      </w:r>
      <w:proofErr w:type="spellEnd"/>
      <w:r w:rsidRPr="00BD2206">
        <w:t>”)</w:t>
      </w:r>
      <w:r w:rsidR="007F0470" w:rsidRPr="00BD2206">
        <w:t>,</w:t>
      </w:r>
      <w:r w:rsidR="001341E9" w:rsidRPr="00BD2206">
        <w:t xml:space="preserve"> each of</w:t>
      </w:r>
      <w:r w:rsidRPr="00BD2206">
        <w:t xml:space="preserve"> which will be a Delaware limited liability company with </w:t>
      </w:r>
      <w:r w:rsidR="00DA6854" w:rsidRPr="00BD2206">
        <w:t>AEP Texas</w:t>
      </w:r>
      <w:r w:rsidRPr="00BD2206">
        <w:t xml:space="preserve"> as its sole member.  If more than one series of </w:t>
      </w:r>
      <w:r w:rsidR="00035D71" w:rsidRPr="00BD2206">
        <w:t xml:space="preserve">system restoration </w:t>
      </w:r>
      <w:r w:rsidRPr="00BD2206">
        <w:t xml:space="preserve">bonds are issued, </w:t>
      </w:r>
      <w:r w:rsidR="00DA6854" w:rsidRPr="00BD2206">
        <w:t>AEP Texas</w:t>
      </w:r>
      <w:r w:rsidRPr="00BD2206">
        <w:t xml:space="preserve"> will create a separate </w:t>
      </w:r>
      <w:proofErr w:type="spellStart"/>
      <w:r w:rsidRPr="00BD2206">
        <w:t>BondCo</w:t>
      </w:r>
      <w:proofErr w:type="spellEnd"/>
      <w:r w:rsidRPr="00BD2206">
        <w:t xml:space="preserve"> for the issuance of a particular series of </w:t>
      </w:r>
      <w:r w:rsidR="00035D71" w:rsidRPr="00BD2206">
        <w:t xml:space="preserve">system restoration </w:t>
      </w:r>
      <w:r w:rsidRPr="00BD2206">
        <w:t xml:space="preserve">bonds and the rights, structure and restrictions described in this Financing Order with respect to </w:t>
      </w:r>
      <w:proofErr w:type="spellStart"/>
      <w:r w:rsidRPr="00BD2206">
        <w:t>BondCo</w:t>
      </w:r>
      <w:proofErr w:type="spellEnd"/>
      <w:r w:rsidRPr="00BD2206">
        <w:t xml:space="preserve"> will be applicable to each such purchaser of transition property to the extent of the transition property sold to it and the </w:t>
      </w:r>
      <w:r w:rsidR="00035D71" w:rsidRPr="00BD2206">
        <w:t xml:space="preserve">system restoration </w:t>
      </w:r>
      <w:r w:rsidRPr="00BD2206">
        <w:t xml:space="preserve">bonds issued by it.  </w:t>
      </w:r>
      <w:proofErr w:type="spellStart"/>
      <w:r w:rsidRPr="00BD2206">
        <w:t>BondCo</w:t>
      </w:r>
      <w:proofErr w:type="spellEnd"/>
      <w:r w:rsidRPr="00BD2206">
        <w:t xml:space="preserve"> will be formed for the limited purpose of acquiring transition property, issuing </w:t>
      </w:r>
      <w:r w:rsidR="00035D71" w:rsidRPr="00BD2206">
        <w:t xml:space="preserve">system restoration </w:t>
      </w:r>
      <w:r w:rsidRPr="00BD2206">
        <w:t xml:space="preserve">bonds in one or more tranches, and performing other activities relating thereto or otherwise authorized by this Financing Order.  </w:t>
      </w:r>
      <w:proofErr w:type="spellStart"/>
      <w:r w:rsidRPr="00BD2206">
        <w:t>BondCo</w:t>
      </w:r>
      <w:proofErr w:type="spellEnd"/>
      <w:r w:rsidRPr="00BD2206">
        <w:t xml:space="preserve"> will not be permitted to engage in any other activities and will have no assets other than transition property and related assets to support its obligations under the </w:t>
      </w:r>
      <w:r w:rsidR="00035D71" w:rsidRPr="00BD2206">
        <w:t xml:space="preserve">system restoration </w:t>
      </w:r>
      <w:r w:rsidRPr="00BD2206">
        <w:t xml:space="preserve">bonds.  Obligations relating to the </w:t>
      </w:r>
      <w:r w:rsidR="00035D71" w:rsidRPr="00BD2206">
        <w:t xml:space="preserve">system restoration </w:t>
      </w:r>
      <w:r w:rsidRPr="00BD2206">
        <w:t xml:space="preserve">bonds will be </w:t>
      </w:r>
      <w:proofErr w:type="spellStart"/>
      <w:r w:rsidRPr="00BD2206">
        <w:t>BondCo’s</w:t>
      </w:r>
      <w:proofErr w:type="spellEnd"/>
      <w:r w:rsidRPr="00BD2206">
        <w:t xml:space="preserve"> only significant liabilities.  These restrictions on the activities of </w:t>
      </w:r>
      <w:proofErr w:type="spellStart"/>
      <w:r w:rsidRPr="00BD2206">
        <w:t>BondCo</w:t>
      </w:r>
      <w:proofErr w:type="spellEnd"/>
      <w:r w:rsidRPr="00BD2206">
        <w:t xml:space="preserve"> and restrictions on the ability of </w:t>
      </w:r>
      <w:r w:rsidR="00DA6854" w:rsidRPr="00BD2206">
        <w:t>AEP Texas</w:t>
      </w:r>
      <w:r w:rsidRPr="00BD2206">
        <w:t xml:space="preserve"> to take action on </w:t>
      </w:r>
      <w:proofErr w:type="spellStart"/>
      <w:r w:rsidRPr="00BD2206">
        <w:t>BondCo’s</w:t>
      </w:r>
      <w:proofErr w:type="spellEnd"/>
      <w:r w:rsidRPr="00BD2206">
        <w:t xml:space="preserve"> behalf are imposed to achieve the objective that </w:t>
      </w:r>
      <w:proofErr w:type="spellStart"/>
      <w:r w:rsidRPr="00BD2206">
        <w:t>BondCo</w:t>
      </w:r>
      <w:proofErr w:type="spellEnd"/>
      <w:r w:rsidRPr="00BD2206">
        <w:t xml:space="preserve"> will be bankruptcy remote and not affected by a bankruptcy of </w:t>
      </w:r>
      <w:r w:rsidR="00DA6854" w:rsidRPr="00BD2206">
        <w:t>AEP Texas</w:t>
      </w:r>
      <w:r w:rsidRPr="00BD2206">
        <w:t xml:space="preserve">.  </w:t>
      </w:r>
      <w:proofErr w:type="spellStart"/>
      <w:r w:rsidRPr="00BD2206">
        <w:t>BondCo</w:t>
      </w:r>
      <w:proofErr w:type="spellEnd"/>
      <w:r w:rsidRPr="00BD2206">
        <w:t xml:space="preserve"> will be managed by a board of managers with rights and duties similar to those of a board of directors of a corporation.  As long as the </w:t>
      </w:r>
      <w:r w:rsidR="00035D71" w:rsidRPr="00BD2206">
        <w:t xml:space="preserve">system restoration </w:t>
      </w:r>
      <w:r w:rsidRPr="00BD2206">
        <w:t xml:space="preserve">bonds remain outstanding, </w:t>
      </w:r>
      <w:proofErr w:type="spellStart"/>
      <w:r w:rsidRPr="00BD2206">
        <w:t>BondCo</w:t>
      </w:r>
      <w:proofErr w:type="spellEnd"/>
      <w:r w:rsidRPr="00BD2206">
        <w:t xml:space="preserve"> will have at least one independent manager with no organizational affiliation with </w:t>
      </w:r>
      <w:r w:rsidR="00DA6854" w:rsidRPr="00BD2206">
        <w:t>AEP Texas</w:t>
      </w:r>
      <w:r w:rsidRPr="00BD2206">
        <w:t xml:space="preserve"> other than acting as independent manager for any other bankruptcy-remote subsidiary of </w:t>
      </w:r>
      <w:r w:rsidR="00DA6854" w:rsidRPr="00BD2206">
        <w:t>AEP Texas</w:t>
      </w:r>
      <w:r w:rsidRPr="00BD2206">
        <w:t xml:space="preserve"> or its affiliates, including AEP Texas Central Transition Funding II LLC, the issuer of the transition bonds approved in Docket 32475</w:t>
      </w:r>
      <w:r w:rsidR="00035D71" w:rsidRPr="00BD2206">
        <w:t>,</w:t>
      </w:r>
      <w:r w:rsidRPr="00BD2206">
        <w:rPr>
          <w:rStyle w:val="FootnoteReference"/>
        </w:rPr>
        <w:footnoteReference w:id="56"/>
      </w:r>
      <w:r w:rsidR="00035D71" w:rsidRPr="00BD2206">
        <w:t xml:space="preserve"> and AEP Texas Central Company</w:t>
      </w:r>
      <w:r w:rsidR="005C4946" w:rsidRPr="00BD2206">
        <w:t xml:space="preserve"> Transition Funding III LLC, the issuer of transition bonds approved</w:t>
      </w:r>
      <w:r w:rsidR="00035D71" w:rsidRPr="00BD2206">
        <w:t xml:space="preserve"> in Docket No. 39931.</w:t>
      </w:r>
      <w:r w:rsidR="00035D71" w:rsidRPr="00BD2206">
        <w:rPr>
          <w:rStyle w:val="FootnoteReference"/>
        </w:rPr>
        <w:footnoteReference w:id="57"/>
      </w:r>
      <w:r w:rsidRPr="00BD2206">
        <w:t xml:space="preserve">  </w:t>
      </w:r>
      <w:proofErr w:type="spellStart"/>
      <w:r w:rsidRPr="00BD2206">
        <w:t>BondCo</w:t>
      </w:r>
      <w:proofErr w:type="spellEnd"/>
      <w:r w:rsidRPr="00BD2206">
        <w:t xml:space="preserve"> will not be permitted to amend the provisions of the organizational documents that relate to bankruptcy-remoteness of </w:t>
      </w:r>
      <w:proofErr w:type="spellStart"/>
      <w:r w:rsidRPr="00BD2206">
        <w:t>BondCo</w:t>
      </w:r>
      <w:proofErr w:type="spellEnd"/>
      <w:r w:rsidRPr="00BD2206">
        <w:t xml:space="preserve"> without the consent of the independent manager.  Similarly, </w:t>
      </w:r>
      <w:proofErr w:type="spellStart"/>
      <w:r w:rsidRPr="00BD2206">
        <w:t>BondCo</w:t>
      </w:r>
      <w:proofErr w:type="spellEnd"/>
      <w:r w:rsidRPr="00BD2206">
        <w:t xml:space="preserve"> will not be permitted to institute bankruptcy or insolvency proceedings or to consent to the institution of bankruptcy or insolvency proceedings against it, or to dissolve, liquidate, consolidate, convert, or merge without the consent of the independent manager.  Other restrictions to facilitate bankruptcy-remoteness may also be included in the organizational documents of </w:t>
      </w:r>
      <w:proofErr w:type="spellStart"/>
      <w:r w:rsidRPr="00BD2206">
        <w:t>BondCo</w:t>
      </w:r>
      <w:proofErr w:type="spellEnd"/>
      <w:r w:rsidRPr="00BD2206">
        <w:t xml:space="preserve"> as required by the rating agencies</w:t>
      </w:r>
      <w:bookmarkStart w:id="496" w:name="_Toc83701893"/>
      <w:bookmarkStart w:id="497" w:name="_Toc83703750"/>
      <w:bookmarkEnd w:id="494"/>
      <w:bookmarkEnd w:id="495"/>
      <w:r w:rsidRPr="00BD2206">
        <w:t>.</w:t>
      </w:r>
    </w:p>
    <w:p w14:paraId="194CC09C" w14:textId="44F125CB" w:rsidR="003631D6" w:rsidRPr="00BD2206" w:rsidRDefault="003631D6" w:rsidP="003631D6">
      <w:pPr>
        <w:pStyle w:val="FOFNumbered"/>
      </w:pPr>
      <w:r w:rsidRPr="00BD2206">
        <w:t xml:space="preserve">The initial capital of </w:t>
      </w:r>
      <w:proofErr w:type="spellStart"/>
      <w:r w:rsidRPr="00BD2206">
        <w:t>BondCo</w:t>
      </w:r>
      <w:proofErr w:type="spellEnd"/>
      <w:r w:rsidRPr="00BD2206">
        <w:t xml:space="preserve"> is expected to be not less than 0.5% of the original principal amount of the </w:t>
      </w:r>
      <w:r w:rsidR="00A56180" w:rsidRPr="00BD2206">
        <w:t xml:space="preserve">system restoration </w:t>
      </w:r>
      <w:r w:rsidRPr="00BD2206">
        <w:t xml:space="preserve">bonds issued by </w:t>
      </w:r>
      <w:proofErr w:type="spellStart"/>
      <w:r w:rsidRPr="00BD2206">
        <w:t>BondCo</w:t>
      </w:r>
      <w:proofErr w:type="spellEnd"/>
      <w:r w:rsidRPr="00BD2206">
        <w:t xml:space="preserve">.  Adequate funding of </w:t>
      </w:r>
      <w:proofErr w:type="spellStart"/>
      <w:r w:rsidRPr="00BD2206">
        <w:t>BondCo</w:t>
      </w:r>
      <w:proofErr w:type="spellEnd"/>
      <w:r w:rsidRPr="00BD2206">
        <w:t xml:space="preserve"> at this level is intended to protect the bankruptcy remoteness of </w:t>
      </w:r>
      <w:proofErr w:type="spellStart"/>
      <w:r w:rsidRPr="00BD2206">
        <w:t>BondCo</w:t>
      </w:r>
      <w:proofErr w:type="spellEnd"/>
      <w:r w:rsidRPr="00BD2206">
        <w:t xml:space="preserve">.  A sufficient level of capital is necessary to minimize this risk and, therefore, assist in achieving the lowest </w:t>
      </w:r>
      <w:r w:rsidR="00B16D02" w:rsidRPr="00BD2206">
        <w:t>system restoration</w:t>
      </w:r>
      <w:r w:rsidRPr="00BD2206">
        <w:t xml:space="preserve"> charges possible.</w:t>
      </w:r>
      <w:bookmarkStart w:id="498" w:name="_Toc83701894"/>
      <w:bookmarkStart w:id="499" w:name="_Toc83703751"/>
      <w:bookmarkEnd w:id="496"/>
      <w:bookmarkEnd w:id="497"/>
      <w:r w:rsidRPr="00BD2206">
        <w:t xml:space="preserve">  </w:t>
      </w:r>
    </w:p>
    <w:p w14:paraId="3085DC04" w14:textId="40B08276" w:rsidR="003631D6" w:rsidRPr="00BD2206" w:rsidRDefault="003631D6" w:rsidP="003631D6">
      <w:pPr>
        <w:pStyle w:val="FOFNumbered"/>
      </w:pPr>
      <w:proofErr w:type="spellStart"/>
      <w:r w:rsidRPr="00BD2206">
        <w:t>BondCo</w:t>
      </w:r>
      <w:proofErr w:type="spellEnd"/>
      <w:r w:rsidRPr="00BD2206">
        <w:t xml:space="preserve"> will issue one series of </w:t>
      </w:r>
      <w:r w:rsidR="004877E8" w:rsidRPr="00BD2206">
        <w:t xml:space="preserve">system restoration </w:t>
      </w:r>
      <w:r w:rsidRPr="00BD2206">
        <w:t xml:space="preserve">bonds consisting of one or more tranches.  The aggregate amount of all tranches of all series of </w:t>
      </w:r>
      <w:r w:rsidR="004877E8" w:rsidRPr="00BD2206">
        <w:t xml:space="preserve">system restoration </w:t>
      </w:r>
      <w:r w:rsidRPr="00BD2206">
        <w:t xml:space="preserve">bonds issued pursuant to this Financing Order shall not exceed the principal amount approved by this Financing Order.  </w:t>
      </w:r>
      <w:proofErr w:type="spellStart"/>
      <w:r w:rsidRPr="00BD2206">
        <w:t>BondCo</w:t>
      </w:r>
      <w:proofErr w:type="spellEnd"/>
      <w:r w:rsidRPr="00BD2206">
        <w:t xml:space="preserve"> will pledge to the indenture trustee, as collateral for payment of the </w:t>
      </w:r>
      <w:r w:rsidR="00A56180" w:rsidRPr="00BD2206">
        <w:t xml:space="preserve">system restoration </w:t>
      </w:r>
      <w:r w:rsidRPr="00BD2206">
        <w:t xml:space="preserve">bonds, the transition property, including </w:t>
      </w:r>
      <w:proofErr w:type="spellStart"/>
      <w:r w:rsidRPr="00BD2206">
        <w:t>BondCo’s</w:t>
      </w:r>
      <w:proofErr w:type="spellEnd"/>
      <w:r w:rsidRPr="00BD2206">
        <w:t xml:space="preserve"> right to receive the </w:t>
      </w:r>
      <w:r w:rsidR="004877E8" w:rsidRPr="00BD2206">
        <w:t xml:space="preserve">system restoration </w:t>
      </w:r>
      <w:r w:rsidRPr="00BD2206">
        <w:t xml:space="preserve">charges as and when collected, and certain other collateral described in </w:t>
      </w:r>
      <w:r w:rsidR="00DA6854" w:rsidRPr="00BD2206">
        <w:t>AEP Texas</w:t>
      </w:r>
      <w:r w:rsidRPr="00BD2206">
        <w:t>’ application.</w:t>
      </w:r>
      <w:bookmarkStart w:id="500" w:name="_Toc83701895"/>
      <w:bookmarkStart w:id="501" w:name="_Toc83703752"/>
      <w:bookmarkEnd w:id="498"/>
      <w:bookmarkEnd w:id="499"/>
    </w:p>
    <w:p w14:paraId="1A5659E6" w14:textId="662463F0" w:rsidR="003631D6" w:rsidRPr="00BD2206" w:rsidRDefault="003631D6" w:rsidP="003631D6">
      <w:pPr>
        <w:pStyle w:val="FOFNumbered"/>
      </w:pPr>
      <w:r w:rsidRPr="00BD2206">
        <w:t xml:space="preserve">Concurrent with the issuance of any of the </w:t>
      </w:r>
      <w:r w:rsidR="008728BD" w:rsidRPr="00BD2206">
        <w:t xml:space="preserve">system restoration </w:t>
      </w:r>
      <w:r w:rsidRPr="00BD2206">
        <w:t xml:space="preserve">bonds, </w:t>
      </w:r>
      <w:r w:rsidR="00DA6854" w:rsidRPr="00BD2206">
        <w:t>AEP Texas</w:t>
      </w:r>
      <w:r w:rsidRPr="00BD2206">
        <w:t xml:space="preserve"> will transfer to </w:t>
      </w:r>
      <w:proofErr w:type="spellStart"/>
      <w:r w:rsidRPr="00BD2206">
        <w:t>BondCo</w:t>
      </w:r>
      <w:proofErr w:type="spellEnd"/>
      <w:r w:rsidRPr="00BD2206">
        <w:t xml:space="preserve"> all of </w:t>
      </w:r>
      <w:r w:rsidR="00DA6854" w:rsidRPr="00BD2206">
        <w:t>AEP Texas</w:t>
      </w:r>
      <w:r w:rsidR="008728BD" w:rsidRPr="00BD2206">
        <w:t>’</w:t>
      </w:r>
      <w:r w:rsidRPr="00BD2206">
        <w:t xml:space="preserve"> rights under this Financing Order related to the amount of </w:t>
      </w:r>
      <w:r w:rsidR="008728BD" w:rsidRPr="00BD2206">
        <w:t xml:space="preserve">system restoration </w:t>
      </w:r>
      <w:r w:rsidRPr="00BD2206">
        <w:t xml:space="preserve">bonds </w:t>
      </w:r>
      <w:proofErr w:type="spellStart"/>
      <w:r w:rsidRPr="00BD2206">
        <w:t>BondCo</w:t>
      </w:r>
      <w:proofErr w:type="spellEnd"/>
      <w:r w:rsidRPr="00BD2206">
        <w:t xml:space="preserve"> is issuing, including rights to impose, collect, and receive </w:t>
      </w:r>
      <w:r w:rsidR="008728BD" w:rsidRPr="00BD2206">
        <w:t xml:space="preserve">system restoration </w:t>
      </w:r>
      <w:r w:rsidRPr="00BD2206">
        <w:t>charges approved in this Financing Order.  This transfer will be structured so that it will qualify as a true sale within the meaning of PURA § 39.308</w:t>
      </w:r>
      <w:r w:rsidR="001341E9" w:rsidRPr="00BD2206">
        <w:rPr>
          <w:snapToGrid/>
          <w:color w:val="0000FF"/>
          <w:szCs w:val="24"/>
          <w:u w:color="0000FF"/>
        </w:rPr>
        <w:t xml:space="preserve"> </w:t>
      </w:r>
      <w:r w:rsidR="001341E9" w:rsidRPr="00BD2206">
        <w:t xml:space="preserve">and that such rights will become “transition property” concurrently with the sale to </w:t>
      </w:r>
      <w:proofErr w:type="spellStart"/>
      <w:r w:rsidR="001341E9" w:rsidRPr="00BD2206">
        <w:t>BondCo</w:t>
      </w:r>
      <w:proofErr w:type="spellEnd"/>
      <w:r w:rsidR="001341E9" w:rsidRPr="00BD2206">
        <w:t xml:space="preserve"> </w:t>
      </w:r>
      <w:bookmarkStart w:id="502" w:name="_cp_text_4_451"/>
      <w:r w:rsidR="001341E9" w:rsidRPr="00BD2206">
        <w:t xml:space="preserve">as provided in PURA </w:t>
      </w:r>
      <w:bookmarkEnd w:id="502"/>
      <w:r w:rsidR="001341E9" w:rsidRPr="00BD2206">
        <w:t>§ 39.304</w:t>
      </w:r>
      <w:r w:rsidRPr="00BD2206">
        <w:t xml:space="preserve">.  By virtue of the transfer, </w:t>
      </w:r>
      <w:proofErr w:type="spellStart"/>
      <w:r w:rsidRPr="00BD2206">
        <w:t>BondCo</w:t>
      </w:r>
      <w:proofErr w:type="spellEnd"/>
      <w:r w:rsidRPr="00BD2206">
        <w:t xml:space="preserve"> will acquire all of the right, title, and interest of </w:t>
      </w:r>
      <w:r w:rsidR="00DA6854" w:rsidRPr="00BD2206">
        <w:t>AEP Texas</w:t>
      </w:r>
      <w:r w:rsidRPr="00BD2206">
        <w:t xml:space="preserve"> in the transition property arising under this Financing Order that is related to the amount of </w:t>
      </w:r>
      <w:r w:rsidR="008728BD" w:rsidRPr="00BD2206">
        <w:t xml:space="preserve">system restoration </w:t>
      </w:r>
      <w:r w:rsidRPr="00BD2206">
        <w:t xml:space="preserve">bonds </w:t>
      </w:r>
      <w:proofErr w:type="spellStart"/>
      <w:r w:rsidRPr="00BD2206">
        <w:t>BondCo</w:t>
      </w:r>
      <w:proofErr w:type="spellEnd"/>
      <w:r w:rsidRPr="00BD2206">
        <w:t xml:space="preserve"> is issuing.</w:t>
      </w:r>
      <w:bookmarkStart w:id="503" w:name="_Toc83703753"/>
      <w:bookmarkEnd w:id="500"/>
      <w:bookmarkEnd w:id="501"/>
    </w:p>
    <w:p w14:paraId="7DC39B3A" w14:textId="77777777" w:rsidR="003631D6" w:rsidRPr="00BD2206" w:rsidRDefault="003631D6" w:rsidP="003631D6">
      <w:pPr>
        <w:pStyle w:val="FOFNumbered"/>
      </w:pPr>
      <w:r w:rsidRPr="00BD2206">
        <w:t xml:space="preserve">The use and proposed structure of </w:t>
      </w:r>
      <w:proofErr w:type="spellStart"/>
      <w:r w:rsidRPr="00BD2206">
        <w:t>BondCo</w:t>
      </w:r>
      <w:proofErr w:type="spellEnd"/>
      <w:r w:rsidRPr="00BD2206">
        <w:t xml:space="preserve"> and the limitations related to its organization and management are necessary to minimize risks related to the proposed securitization transactions and to minimize the </w:t>
      </w:r>
      <w:r w:rsidR="008728BD" w:rsidRPr="00BD2206">
        <w:t xml:space="preserve">system restoration </w:t>
      </w:r>
      <w:r w:rsidRPr="00BD2206">
        <w:t xml:space="preserve">charges.  Therefore, the use and proposed structure of </w:t>
      </w:r>
      <w:proofErr w:type="spellStart"/>
      <w:r w:rsidRPr="00BD2206">
        <w:t>BondCo</w:t>
      </w:r>
      <w:proofErr w:type="spellEnd"/>
      <w:r w:rsidRPr="00BD2206">
        <w:t xml:space="preserve"> should be approved.</w:t>
      </w:r>
      <w:bookmarkEnd w:id="503"/>
    </w:p>
    <w:p w14:paraId="5426F5A2" w14:textId="44505E37" w:rsidR="003631D6" w:rsidRPr="00BD2206" w:rsidRDefault="003631D6" w:rsidP="00B42FAC">
      <w:pPr>
        <w:pStyle w:val="Heading3"/>
        <w:jc w:val="both"/>
      </w:pPr>
      <w:bookmarkStart w:id="504" w:name="_Toc88378142"/>
      <w:bookmarkStart w:id="505" w:name="_Toc88379114"/>
      <w:bookmarkStart w:id="506" w:name="_Toc88379336"/>
      <w:bookmarkStart w:id="507" w:name="_Toc88379556"/>
      <w:bookmarkStart w:id="508" w:name="_Toc88379774"/>
      <w:bookmarkStart w:id="509" w:name="_Toc88379962"/>
      <w:bookmarkStart w:id="510" w:name="_Toc88380145"/>
      <w:bookmarkStart w:id="511" w:name="_Toc88380275"/>
      <w:bookmarkStart w:id="512" w:name="_Toc88380432"/>
      <w:bookmarkStart w:id="513" w:name="_Toc88380524"/>
      <w:bookmarkStart w:id="514" w:name="_Toc88380616"/>
      <w:bookmarkStart w:id="515" w:name="_Toc97535667"/>
      <w:bookmarkStart w:id="516" w:name="_Toc158028397"/>
      <w:bookmarkStart w:id="517" w:name="_Toc177539448"/>
      <w:bookmarkStart w:id="518" w:name="_Toc2778501"/>
      <w:r w:rsidRPr="00BD2206">
        <w:t>Credit Enhancement and Arrangements to Enhance Marketability</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75AA218A" w14:textId="77777777" w:rsidR="003631D6" w:rsidRPr="00BD2206" w:rsidRDefault="00DA6854" w:rsidP="003631D6">
      <w:pPr>
        <w:pStyle w:val="FOFNumbered"/>
        <w:spacing w:before="240"/>
      </w:pPr>
      <w:bookmarkStart w:id="519" w:name="_Ref482679200"/>
      <w:bookmarkStart w:id="520" w:name="_Toc83701897"/>
      <w:bookmarkStart w:id="521" w:name="_Toc83703755"/>
      <w:r w:rsidRPr="00BD2206">
        <w:t>AEP Texas</w:t>
      </w:r>
      <w:r w:rsidR="003631D6" w:rsidRPr="00BD2206">
        <w:t xml:space="preserve"> requested approval to use additional forms of credit enhancement (including letters of credit, reserve accounts, surety bonds, or guarantees) and other mechanisms designed to promote the credit quality and marketability of the </w:t>
      </w:r>
      <w:r w:rsidR="008728BD" w:rsidRPr="00BD2206">
        <w:t xml:space="preserve">system restoration </w:t>
      </w:r>
      <w:r w:rsidR="003631D6" w:rsidRPr="00BD2206">
        <w:t xml:space="preserve">bonds if the benefits of such arrangements exceed their cost.  </w:t>
      </w:r>
      <w:r w:rsidRPr="00BD2206">
        <w:t>AEP Texas</w:t>
      </w:r>
      <w:r w:rsidR="003631D6" w:rsidRPr="00BD2206">
        <w:t xml:space="preserve"> also asked that the costs of any credit enhancements as well as the costs of arrangements to enhance marketability be included in the amount of qualified costs to be securitized.  </w:t>
      </w:r>
      <w:r w:rsidRPr="00BD2206">
        <w:t>AEP Texas</w:t>
      </w:r>
      <w:r w:rsidR="003631D6" w:rsidRPr="00BD2206">
        <w:t xml:space="preserve"> should be permitted to recover the ongoing costs of credit enhancements and arrangements to enhance marketability, provided that the Commission’s designated representative and </w:t>
      </w:r>
      <w:r w:rsidRPr="00BD2206">
        <w:t>AEP Texas</w:t>
      </w:r>
      <w:r w:rsidR="003631D6" w:rsidRPr="00BD2206">
        <w:t xml:space="preserve"> agree in advance that such enhancements and arrangements provide benefits greater than their tangible and intangible costs.  If the use of original issue discount, credit enhancements, or other arrangements is proposed by </w:t>
      </w:r>
      <w:r w:rsidRPr="00BD2206">
        <w:t>AEP Texas</w:t>
      </w:r>
      <w:r w:rsidR="003631D6" w:rsidRPr="00BD2206">
        <w:t xml:space="preserve">, </w:t>
      </w:r>
      <w:r w:rsidRPr="00BD2206">
        <w:t>AEP Texas</w:t>
      </w:r>
      <w:r w:rsidR="003631D6" w:rsidRPr="00BD2206">
        <w:t xml:space="preserve"> shall provide the Commission’s designated representative copies of all cost/benefit analyses performed by or for </w:t>
      </w:r>
      <w:r w:rsidRPr="00BD2206">
        <w:t>AEP Texas</w:t>
      </w:r>
      <w:r w:rsidR="003631D6" w:rsidRPr="00BD2206">
        <w:t xml:space="preserve"> that support the request to use such arrangements.  This finding does not apply to the collection account or its subaccounts approved in this Financing Order.</w:t>
      </w:r>
      <w:bookmarkStart w:id="522" w:name="_Ref482694077"/>
      <w:bookmarkStart w:id="523" w:name="_Toc83701898"/>
      <w:bookmarkStart w:id="524" w:name="_Toc83703756"/>
      <w:bookmarkEnd w:id="519"/>
      <w:bookmarkEnd w:id="520"/>
      <w:bookmarkEnd w:id="521"/>
    </w:p>
    <w:p w14:paraId="1AD5953C" w14:textId="77777777" w:rsidR="003631D6" w:rsidRPr="00BD2206" w:rsidRDefault="00DA6854" w:rsidP="003631D6">
      <w:pPr>
        <w:pStyle w:val="FOFNumbered"/>
      </w:pPr>
      <w:r w:rsidRPr="00BD2206">
        <w:t>AEP Texas</w:t>
      </w:r>
      <w:r w:rsidR="008728BD" w:rsidRPr="00BD2206">
        <w:t>’</w:t>
      </w:r>
      <w:r w:rsidR="003631D6" w:rsidRPr="00BD2206">
        <w:t xml:space="preserve"> proposed use of credit enhancements and arrangements to enhance marketability is reasonable and should be approved, provided that </w:t>
      </w:r>
      <w:r w:rsidRPr="00BD2206">
        <w:t>AEP Texas</w:t>
      </w:r>
      <w:r w:rsidR="003631D6" w:rsidRPr="00BD2206">
        <w:t xml:space="preserve"> certifies that the enhancements or arrangements provide benefits greater than their cost and that such certifications are agreed to by the Commission’s designated representative.</w:t>
      </w:r>
      <w:bookmarkEnd w:id="522"/>
      <w:bookmarkEnd w:id="523"/>
      <w:bookmarkEnd w:id="524"/>
    </w:p>
    <w:p w14:paraId="0ECADA12" w14:textId="6726CFE8" w:rsidR="003631D6" w:rsidRPr="00BD2206" w:rsidRDefault="003631D6" w:rsidP="003631D6">
      <w:pPr>
        <w:pStyle w:val="FOFNumbered"/>
      </w:pPr>
      <w:r w:rsidRPr="00BD2206">
        <w:t>In prior financing orders,</w:t>
      </w:r>
      <w:r w:rsidRPr="00BD2206">
        <w:rPr>
          <w:rStyle w:val="FootnoteReference"/>
        </w:rPr>
        <w:footnoteReference w:id="58"/>
      </w:r>
      <w:r w:rsidRPr="00BD2206">
        <w:t xml:space="preserve"> the Commission determined that the costs and risks of swap transactions outweighed the expected benefits and prohibited the use of interest rate swaps.</w:t>
      </w:r>
      <w:r w:rsidR="001341E9" w:rsidRPr="00BD2206">
        <w:t xml:space="preserve">  AEP Texas has not sought authority to use swap transactions in connection with its proposed securitization.</w:t>
      </w:r>
    </w:p>
    <w:p w14:paraId="171C8BA8" w14:textId="1392AED4" w:rsidR="003631D6" w:rsidRPr="00BD2206" w:rsidRDefault="003631D6" w:rsidP="003631D6">
      <w:pPr>
        <w:pStyle w:val="FOFNumbered"/>
      </w:pPr>
      <w:r w:rsidRPr="00BD2206">
        <w:t xml:space="preserve">Also in prior financing orders, the Commission determined that the use of floating rate notes, notes denominated in foreign currencies, interest rate hedges, and interest-rate swaps would not be expected to result in the lowest </w:t>
      </w:r>
      <w:r w:rsidR="006110FA" w:rsidRPr="00BD2206">
        <w:t xml:space="preserve">system restoration </w:t>
      </w:r>
      <w:r w:rsidRPr="00BD2206">
        <w:t xml:space="preserve">bond charges, and would expose </w:t>
      </w:r>
      <w:r w:rsidR="00824E79" w:rsidRPr="00BD2206">
        <w:t xml:space="preserve">ratepayers </w:t>
      </w:r>
      <w:r w:rsidRPr="00BD2206">
        <w:t xml:space="preserve">to higher risks and greater uncertainty about future costs.  Accordingly, </w:t>
      </w:r>
      <w:bookmarkStart w:id="525" w:name="_cp_text_1_458"/>
      <w:r w:rsidR="001341E9" w:rsidRPr="00BD2206">
        <w:t>AEP Texas has not asked for permission, and</w:t>
      </w:r>
      <w:bookmarkEnd w:id="525"/>
      <w:r w:rsidR="001341E9" w:rsidRPr="00BD2206">
        <w:t xml:space="preserve"> </w:t>
      </w:r>
      <w:r w:rsidRPr="00BD2206">
        <w:t xml:space="preserve">the Commission has determined that </w:t>
      </w:r>
      <w:r w:rsidR="00DA6854" w:rsidRPr="00BD2206">
        <w:t>AEP Texas</w:t>
      </w:r>
      <w:r w:rsidRPr="00BD2206">
        <w:t xml:space="preserve"> should not be permitted to use floating rate notes, notes denominated in foreign currencies, hedges, or interest swaps in this transaction.</w:t>
      </w:r>
    </w:p>
    <w:p w14:paraId="3D265877" w14:textId="77777777" w:rsidR="003631D6" w:rsidRPr="00BD2206" w:rsidRDefault="003631D6" w:rsidP="003631D6">
      <w:pPr>
        <w:pStyle w:val="Heading3"/>
      </w:pPr>
      <w:bookmarkStart w:id="526" w:name="_Toc88378143"/>
      <w:bookmarkStart w:id="527" w:name="_Toc88379115"/>
      <w:bookmarkStart w:id="528" w:name="_Toc88379337"/>
      <w:bookmarkStart w:id="529" w:name="_Toc88379557"/>
      <w:bookmarkStart w:id="530" w:name="_Toc88379775"/>
      <w:bookmarkStart w:id="531" w:name="_Toc88379963"/>
      <w:bookmarkStart w:id="532" w:name="_Toc88380146"/>
      <w:bookmarkStart w:id="533" w:name="_Toc88380276"/>
      <w:bookmarkStart w:id="534" w:name="_Toc88380433"/>
      <w:bookmarkStart w:id="535" w:name="_Toc88380525"/>
      <w:bookmarkStart w:id="536" w:name="_Toc88380617"/>
      <w:bookmarkStart w:id="537" w:name="_Toc97535668"/>
      <w:bookmarkStart w:id="538" w:name="_Toc158028398"/>
      <w:bookmarkStart w:id="539" w:name="_Toc177539449"/>
      <w:bookmarkStart w:id="540" w:name="_Toc2778502"/>
      <w:r w:rsidRPr="00BD2206">
        <w:t>Transition Property</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031C9C0F" w14:textId="5DB85544" w:rsidR="003631D6" w:rsidRPr="00BD2206" w:rsidRDefault="003631D6" w:rsidP="003631D6">
      <w:pPr>
        <w:pStyle w:val="FOFNumbered"/>
      </w:pPr>
      <w:bookmarkStart w:id="541" w:name="_Toc83701899"/>
      <w:bookmarkStart w:id="542" w:name="_Toc83703758"/>
      <w:r w:rsidRPr="00BD2206">
        <w:t xml:space="preserve">Under PURA § 39.304(a), the rights and interest of an electric utility or successor under a financing order, including the right to impose, collect, and receive </w:t>
      </w:r>
      <w:r w:rsidR="001341E9" w:rsidRPr="00BD2206">
        <w:t xml:space="preserve">transition charges (which term includes </w:t>
      </w:r>
      <w:r w:rsidRPr="00BD2206">
        <w:t xml:space="preserve">the </w:t>
      </w:r>
      <w:r w:rsidR="006110FA" w:rsidRPr="00BD2206">
        <w:t xml:space="preserve">system restoration </w:t>
      </w:r>
      <w:r w:rsidRPr="00BD2206">
        <w:t>charges authorized in the financing order</w:t>
      </w:r>
      <w:r w:rsidR="001341E9" w:rsidRPr="00BD2206">
        <w:t>)</w:t>
      </w:r>
      <w:r w:rsidRPr="00BD2206">
        <w:t xml:space="preserve">, are only contract rights until they are first transferred to an assignee or pledged in connection with the issuance of </w:t>
      </w:r>
      <w:r w:rsidR="006110FA" w:rsidRPr="00BD2206">
        <w:t xml:space="preserve">system restoration </w:t>
      </w:r>
      <w:r w:rsidRPr="00BD2206">
        <w:t>bonds, at which time they will become transition property.</w:t>
      </w:r>
      <w:bookmarkStart w:id="543" w:name="_Toc83701900"/>
      <w:bookmarkStart w:id="544" w:name="_Toc83703759"/>
      <w:bookmarkEnd w:id="541"/>
      <w:bookmarkEnd w:id="542"/>
    </w:p>
    <w:p w14:paraId="7B9BA238" w14:textId="546AE47B" w:rsidR="003631D6" w:rsidRPr="00BD2206" w:rsidRDefault="003631D6" w:rsidP="003631D6">
      <w:pPr>
        <w:pStyle w:val="FOFNumbered"/>
        <w:tabs>
          <w:tab w:val="left" w:pos="720"/>
        </w:tabs>
      </w:pPr>
      <w:r w:rsidRPr="00BD2206">
        <w:t xml:space="preserve">The rights to impose, collect, and receive the </w:t>
      </w:r>
      <w:r w:rsidR="006110FA" w:rsidRPr="00BD2206">
        <w:t xml:space="preserve">system restoration </w:t>
      </w:r>
      <w:r w:rsidRPr="00BD2206">
        <w:t xml:space="preserve">charges approved in this Financing Order along with the other rights arising pursuant to this Financing Order will become transition property upon the transfer of such rights by </w:t>
      </w:r>
      <w:r w:rsidR="00DA6854" w:rsidRPr="00BD2206">
        <w:t>AEP Texas</w:t>
      </w:r>
      <w:r w:rsidRPr="00BD2206">
        <w:t xml:space="preserve"> to </w:t>
      </w:r>
      <w:proofErr w:type="spellStart"/>
      <w:r w:rsidRPr="00BD2206">
        <w:t>BondCo</w:t>
      </w:r>
      <w:proofErr w:type="spellEnd"/>
      <w:r w:rsidRPr="00BD2206">
        <w:t xml:space="preserve"> pursuant to PURA § 39.304.</w:t>
      </w:r>
      <w:bookmarkStart w:id="545" w:name="_Toc83701901"/>
      <w:bookmarkStart w:id="546" w:name="_Toc83703760"/>
      <w:bookmarkEnd w:id="543"/>
      <w:bookmarkEnd w:id="544"/>
      <w:r w:rsidRPr="00BD2206">
        <w:t xml:space="preserve">  If </w:t>
      </w:r>
      <w:r w:rsidR="006110FA" w:rsidRPr="00BD2206">
        <w:t xml:space="preserve">system restoration </w:t>
      </w:r>
      <w:r w:rsidRPr="00BD2206">
        <w:t xml:space="preserve">bonds are issued in more than one series, then the transition property transferred as a result of each issuance shall be only those rights associated with that portion of the total amount authorized to be securitized by this Financing Order which is securitized by such issuance.  The rights to impose, collect and receive </w:t>
      </w:r>
      <w:r w:rsidR="006110FA" w:rsidRPr="00BD2206">
        <w:t xml:space="preserve">system restoration </w:t>
      </w:r>
      <w:r w:rsidRPr="00BD2206">
        <w:t xml:space="preserve">charges along with the other rights arising pursuant to this Financing Order as they relate to any portion of the total amount authorized to be securitized that remains </w:t>
      </w:r>
      <w:proofErr w:type="spellStart"/>
      <w:r w:rsidRPr="00BD2206">
        <w:t>unsecuritized</w:t>
      </w:r>
      <w:proofErr w:type="spellEnd"/>
      <w:r w:rsidRPr="00BD2206">
        <w:t xml:space="preserve"> shall remain with </w:t>
      </w:r>
      <w:r w:rsidR="00DA6854" w:rsidRPr="00BD2206">
        <w:t>AEP Texas</w:t>
      </w:r>
      <w:r w:rsidRPr="00BD2206">
        <w:t xml:space="preserve"> and shall not become transition property </w:t>
      </w:r>
      <w:r w:rsidR="00D670DC" w:rsidRPr="00BD2206">
        <w:t xml:space="preserve">unless and </w:t>
      </w:r>
      <w:r w:rsidRPr="00BD2206">
        <w:t xml:space="preserve">until transferred to a </w:t>
      </w:r>
      <w:proofErr w:type="spellStart"/>
      <w:r w:rsidRPr="00BD2206">
        <w:t>BondCo</w:t>
      </w:r>
      <w:proofErr w:type="spellEnd"/>
      <w:r w:rsidRPr="00BD2206">
        <w:t xml:space="preserve"> in connection with a subsequent issuance of </w:t>
      </w:r>
      <w:r w:rsidR="006110FA" w:rsidRPr="00BD2206">
        <w:t xml:space="preserve">system restoration </w:t>
      </w:r>
      <w:r w:rsidRPr="00BD2206">
        <w:t>bonds.</w:t>
      </w:r>
    </w:p>
    <w:p w14:paraId="1CAB3616" w14:textId="23D7889B" w:rsidR="003631D6" w:rsidRPr="00BD2206" w:rsidRDefault="003631D6" w:rsidP="003631D6">
      <w:pPr>
        <w:pStyle w:val="FOFNumbered"/>
      </w:pPr>
      <w:r w:rsidRPr="00BD2206">
        <w:t xml:space="preserve">Transition property and all other collateral will be held and administered by the indenture trustee pursuant to the indenture, as described in </w:t>
      </w:r>
      <w:r w:rsidR="00DA6854" w:rsidRPr="00BD2206">
        <w:t>AEP Texas</w:t>
      </w:r>
      <w:r w:rsidR="006110FA" w:rsidRPr="00BD2206">
        <w:t>’</w:t>
      </w:r>
      <w:r w:rsidRPr="00BD2206">
        <w:t xml:space="preserve"> application.  This proposal will help ensure the lowest </w:t>
      </w:r>
      <w:r w:rsidR="005C4946" w:rsidRPr="00BD2206">
        <w:t>system restoration</w:t>
      </w:r>
      <w:r w:rsidR="007F2651" w:rsidRPr="00BD2206">
        <w:t xml:space="preserve"> </w:t>
      </w:r>
      <w:r w:rsidRPr="00BD2206">
        <w:t>charges and should be approved.</w:t>
      </w:r>
      <w:bookmarkStart w:id="547" w:name="_Toc83701902"/>
      <w:bookmarkStart w:id="548" w:name="_Toc83703761"/>
      <w:bookmarkEnd w:id="545"/>
      <w:bookmarkEnd w:id="546"/>
    </w:p>
    <w:p w14:paraId="6F469838" w14:textId="77777777" w:rsidR="003631D6" w:rsidRPr="00BD2206" w:rsidRDefault="003631D6" w:rsidP="003631D6">
      <w:pPr>
        <w:pStyle w:val="FOFNumbered"/>
      </w:pPr>
      <w:r w:rsidRPr="00BD2206">
        <w:t xml:space="preserve">Under PURA § 39.304(b), transition property constitutes a present property right for purposes of contracts concerning the sale or pledge of property, even though the imposition and collection of </w:t>
      </w:r>
      <w:r w:rsidR="006110FA" w:rsidRPr="00BD2206">
        <w:t xml:space="preserve">system restoration </w:t>
      </w:r>
      <w:r w:rsidRPr="00BD2206">
        <w:t>charges depends on further acts of the utility or others that have not yet occurred.</w:t>
      </w:r>
      <w:bookmarkEnd w:id="547"/>
      <w:bookmarkEnd w:id="548"/>
    </w:p>
    <w:p w14:paraId="024A9F53" w14:textId="77777777" w:rsidR="003631D6" w:rsidRPr="00BD2206" w:rsidRDefault="003631D6" w:rsidP="003631D6">
      <w:pPr>
        <w:pStyle w:val="Heading3"/>
      </w:pPr>
      <w:bookmarkStart w:id="549" w:name="_Toc88378144"/>
      <w:bookmarkStart w:id="550" w:name="_Toc88379116"/>
      <w:bookmarkStart w:id="551" w:name="_Toc88379338"/>
      <w:bookmarkStart w:id="552" w:name="_Toc88379558"/>
      <w:bookmarkStart w:id="553" w:name="_Toc88379776"/>
      <w:bookmarkStart w:id="554" w:name="_Toc88379964"/>
      <w:bookmarkStart w:id="555" w:name="_Toc88380147"/>
      <w:bookmarkStart w:id="556" w:name="_Toc88380277"/>
      <w:bookmarkStart w:id="557" w:name="_Toc88380434"/>
      <w:bookmarkStart w:id="558" w:name="_Toc88380526"/>
      <w:bookmarkStart w:id="559" w:name="_Toc88380618"/>
      <w:bookmarkStart w:id="560" w:name="_Toc97535669"/>
      <w:bookmarkStart w:id="561" w:name="_Toc158028399"/>
      <w:bookmarkStart w:id="562" w:name="_Toc177539450"/>
      <w:bookmarkStart w:id="563" w:name="_Toc2778503"/>
      <w:r w:rsidRPr="00BD2206">
        <w:t>Servicer and the Servicing Agreement</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14:paraId="03CED3C0" w14:textId="47F2A778" w:rsidR="003631D6" w:rsidRPr="00BD2206" w:rsidRDefault="00DA6854" w:rsidP="003631D6">
      <w:pPr>
        <w:pStyle w:val="FOFNumbered"/>
      </w:pPr>
      <w:bookmarkStart w:id="564" w:name="_Toc83701904"/>
      <w:bookmarkStart w:id="565" w:name="_Toc83703764"/>
      <w:bookmarkStart w:id="566" w:name="_Ref138485841"/>
      <w:r w:rsidRPr="00BD2206">
        <w:t>AEP Texas</w:t>
      </w:r>
      <w:r w:rsidR="003631D6" w:rsidRPr="00BD2206">
        <w:t xml:space="preserve"> will execute a servicing agreement with </w:t>
      </w:r>
      <w:proofErr w:type="spellStart"/>
      <w:r w:rsidR="003631D6" w:rsidRPr="00BD2206">
        <w:t>BondCo</w:t>
      </w:r>
      <w:proofErr w:type="spellEnd"/>
      <w:r w:rsidR="003631D6" w:rsidRPr="00BD2206">
        <w:t xml:space="preserve">.  The servicing agreement may be amended, renewed or replaced by another servicing agreement.  The entity responsible for carrying out the servicing obligations under any servicing agreement is the servicer.  </w:t>
      </w:r>
      <w:r w:rsidRPr="00BD2206">
        <w:t>AEP Texas</w:t>
      </w:r>
      <w:r w:rsidR="003631D6" w:rsidRPr="00BD2206">
        <w:t xml:space="preserve"> will be the initial servicer but may be succeeded as servicer by another entity under certain circumstances detailed in the servicing agreement and as authorized by the Commission.  Pursuant to the servicing agreement, the servicer is required, among other things, to impose and collect the applicable </w:t>
      </w:r>
      <w:r w:rsidR="006110FA" w:rsidRPr="00BD2206">
        <w:t xml:space="preserve">system restoration </w:t>
      </w:r>
      <w:r w:rsidR="003631D6" w:rsidRPr="00BD2206">
        <w:t xml:space="preserve">charges for the benefit and account of </w:t>
      </w:r>
      <w:proofErr w:type="spellStart"/>
      <w:r w:rsidR="003631D6" w:rsidRPr="00BD2206">
        <w:t>BondCo</w:t>
      </w:r>
      <w:proofErr w:type="spellEnd"/>
      <w:r w:rsidR="003631D6" w:rsidRPr="00BD2206">
        <w:t xml:space="preserve">, to make the periodic true-up adjustments of </w:t>
      </w:r>
      <w:r w:rsidR="006110FA" w:rsidRPr="00BD2206">
        <w:t xml:space="preserve">system restoration </w:t>
      </w:r>
      <w:r w:rsidR="003631D6" w:rsidRPr="00BD2206">
        <w:t xml:space="preserve">charges required or allowed by this Financing Order, and to account for and remit the applicable </w:t>
      </w:r>
      <w:r w:rsidR="006110FA" w:rsidRPr="00BD2206">
        <w:t xml:space="preserve">system restoration </w:t>
      </w:r>
      <w:r w:rsidR="003631D6" w:rsidRPr="00BD2206">
        <w:t xml:space="preserve">charges to or for the account of </w:t>
      </w:r>
      <w:proofErr w:type="spellStart"/>
      <w:r w:rsidR="003631D6" w:rsidRPr="00BD2206">
        <w:t>BondCo</w:t>
      </w:r>
      <w:proofErr w:type="spellEnd"/>
      <w:r w:rsidR="003631D6" w:rsidRPr="00BD2206">
        <w:t xml:space="preserve"> in accordance with the remittance procedures contained in the servicing agreement without any charge, deduction or surcharge of any kind (other than the servicing fee specified in the servicing agreement).  Under the terms of the servicing agreement, if any servicer fails to perform its servicing obligations in any material respect, the indenture trustee acting under the indenture to be entered into in connection with the issuance of the </w:t>
      </w:r>
      <w:r w:rsidR="006110FA" w:rsidRPr="00BD2206">
        <w:t xml:space="preserve">system restoration </w:t>
      </w:r>
      <w:r w:rsidR="003631D6" w:rsidRPr="00BD2206">
        <w:t xml:space="preserve">bonds, or the indenture trustee’s designee, may, or, upon the instruction of the requisite percentage of holders of the outstanding amount of </w:t>
      </w:r>
      <w:r w:rsidR="006110FA" w:rsidRPr="00BD2206">
        <w:t xml:space="preserve">system restoration </w:t>
      </w:r>
      <w:r w:rsidR="003631D6" w:rsidRPr="00BD2206">
        <w:t xml:space="preserve">bonds, shall, appoint an alternate party to replace the defaulting servicer, in which case the replacement servicer will perform the obligations of the servicer under the servicing agreement.  The obligations of the servicer under the servicing agreement and the circumstances under which an alternate servicer may be appointed are more fully described in the servicing agreement.  The rights of </w:t>
      </w:r>
      <w:proofErr w:type="spellStart"/>
      <w:r w:rsidR="003631D6" w:rsidRPr="00BD2206">
        <w:t>BondCo</w:t>
      </w:r>
      <w:proofErr w:type="spellEnd"/>
      <w:r w:rsidR="003631D6" w:rsidRPr="00BD2206">
        <w:t xml:space="preserve"> under the servicing agreement will be included in the collateral pledged to the indenture trustee under the indenture for the benefit of holders of the </w:t>
      </w:r>
      <w:r w:rsidR="00A56180" w:rsidRPr="00BD2206">
        <w:t xml:space="preserve">system restoration </w:t>
      </w:r>
      <w:r w:rsidR="003631D6" w:rsidRPr="00BD2206">
        <w:t xml:space="preserve">bonds.  </w:t>
      </w:r>
      <w:r w:rsidRPr="00BD2206">
        <w:t>AEP Texas</w:t>
      </w:r>
      <w:r w:rsidR="003631D6" w:rsidRPr="00BD2206">
        <w:t xml:space="preserve"> currently serves as servicer of the </w:t>
      </w:r>
      <w:r w:rsidR="007F2651" w:rsidRPr="00BD2206">
        <w:t>transition</w:t>
      </w:r>
      <w:r w:rsidR="006110FA" w:rsidRPr="00BD2206">
        <w:t xml:space="preserve"> </w:t>
      </w:r>
      <w:r w:rsidR="003631D6" w:rsidRPr="00BD2206">
        <w:t>charges related to the transition bonds issued by AEP Texas Central Transition Funding II LLC, in October of 2006 pursuant to the financing order issued in Docket No. 32475</w:t>
      </w:r>
      <w:r w:rsidR="006110FA" w:rsidRPr="00BD2206">
        <w:t xml:space="preserve">, and the transition bonds issued by AEP Texas Central Transition Funding III LLC, in March of 2012 pursuant to the financing order issued in Docket No. 39931. </w:t>
      </w:r>
      <w:r w:rsidR="003631D6" w:rsidRPr="00BD2206">
        <w:t xml:space="preserve"> Consequently, </w:t>
      </w:r>
      <w:r w:rsidRPr="00BD2206">
        <w:t>AEP Texas</w:t>
      </w:r>
      <w:r w:rsidR="003631D6" w:rsidRPr="00BD2206">
        <w:t xml:space="preserve">, as initial servicer of </w:t>
      </w:r>
      <w:r w:rsidR="006110FA" w:rsidRPr="00BD2206">
        <w:t xml:space="preserve">system restoration </w:t>
      </w:r>
      <w:r w:rsidR="003631D6" w:rsidRPr="00BD2206">
        <w:t xml:space="preserve">charges associated with </w:t>
      </w:r>
      <w:r w:rsidR="006110FA" w:rsidRPr="00BD2206">
        <w:t xml:space="preserve">system restoration </w:t>
      </w:r>
      <w:r w:rsidR="003631D6" w:rsidRPr="00BD2206">
        <w:t xml:space="preserve">bonds issued under this Financing Order will, and any successor servicer may, simultaneously be serving as servicer of separate </w:t>
      </w:r>
      <w:r w:rsidR="007F2651" w:rsidRPr="00BD2206">
        <w:t>transition</w:t>
      </w:r>
      <w:r w:rsidR="002F5A55" w:rsidRPr="00BD2206">
        <w:t xml:space="preserve"> </w:t>
      </w:r>
      <w:r w:rsidR="003631D6" w:rsidRPr="00BD2206">
        <w:t xml:space="preserve">charges associated with </w:t>
      </w:r>
      <w:r w:rsidR="007F2651" w:rsidRPr="00BD2206">
        <w:t>transition</w:t>
      </w:r>
      <w:r w:rsidR="002F5A55" w:rsidRPr="00BD2206">
        <w:t xml:space="preserve"> </w:t>
      </w:r>
      <w:r w:rsidR="003631D6" w:rsidRPr="00BD2206">
        <w:t>bonds for more than one issuer</w:t>
      </w:r>
      <w:bookmarkEnd w:id="564"/>
      <w:bookmarkEnd w:id="565"/>
      <w:r w:rsidR="003631D6" w:rsidRPr="00BD2206">
        <w:t>.</w:t>
      </w:r>
      <w:bookmarkEnd w:id="566"/>
    </w:p>
    <w:p w14:paraId="309E20C1" w14:textId="77777777" w:rsidR="003631D6" w:rsidRPr="00BD2206" w:rsidRDefault="003631D6" w:rsidP="003631D6">
      <w:pPr>
        <w:pStyle w:val="FOFNumbered"/>
      </w:pPr>
      <w:r w:rsidRPr="00BD2206">
        <w:t>The servicing agreement negotiated as part of this securitization shall contain a recital clause that the Commission, or its attorney, will enforce the servicing agreement for the benefit of Texas ratepayers to the extent permitted by law.</w:t>
      </w:r>
    </w:p>
    <w:p w14:paraId="3D5B58D5" w14:textId="749DD44E" w:rsidR="003631D6" w:rsidRPr="00BD2206" w:rsidRDefault="003631D6" w:rsidP="003631D6">
      <w:pPr>
        <w:pStyle w:val="FOFNumbered"/>
      </w:pPr>
      <w:r w:rsidRPr="00BD2206">
        <w:t xml:space="preserve">The servicing agreement negotiated as part of this securitization shall include a provision that </w:t>
      </w:r>
      <w:r w:rsidR="00DA6854" w:rsidRPr="00BD2206">
        <w:t>AEP Texas</w:t>
      </w:r>
      <w:r w:rsidRPr="00BD2206">
        <w:t xml:space="preserve"> shall indemnify the Commission (for the benefit of </w:t>
      </w:r>
      <w:r w:rsidR="00824E79" w:rsidRPr="00BD2206">
        <w:t>ratepayers</w:t>
      </w:r>
      <w:r w:rsidRPr="00BD2206">
        <w:t xml:space="preserve">) in connection with any increase in servicing fees that become payable as a result of a default resulting from </w:t>
      </w:r>
      <w:r w:rsidR="00DA6854" w:rsidRPr="00BD2206">
        <w:t>AEP Texas</w:t>
      </w:r>
      <w:r w:rsidR="002F5A55" w:rsidRPr="00BD2206">
        <w:t>’</w:t>
      </w:r>
      <w:r w:rsidRPr="00BD2206">
        <w:t xml:space="preserve"> willful misconduct, bad faith or negligence in performance of its duties or observance of its covenants under the servicing agreement.  The indemnity will be enforced by the Commission but will not be enforceable by any REP or </w:t>
      </w:r>
      <w:r w:rsidR="004B10F4" w:rsidRPr="00BD2206">
        <w:t>customer</w:t>
      </w:r>
      <w:r w:rsidRPr="00BD2206">
        <w:t>.</w:t>
      </w:r>
      <w:bookmarkStart w:id="567" w:name="_Ref484424049"/>
      <w:bookmarkStart w:id="568" w:name="_Toc83701905"/>
      <w:bookmarkStart w:id="569" w:name="_Toc83703765"/>
    </w:p>
    <w:p w14:paraId="746BADF8" w14:textId="6BAB9769" w:rsidR="003631D6" w:rsidRPr="00BD2206" w:rsidRDefault="003631D6" w:rsidP="003631D6">
      <w:pPr>
        <w:pStyle w:val="FOFNumbered"/>
      </w:pPr>
      <w:r w:rsidRPr="00BD2206">
        <w:t xml:space="preserve">The obligations to continue to provide service and to collect and account for </w:t>
      </w:r>
      <w:r w:rsidR="002F5A55" w:rsidRPr="00BD2206">
        <w:t xml:space="preserve">system restoration </w:t>
      </w:r>
      <w:r w:rsidRPr="00BD2206">
        <w:t xml:space="preserve">charges will be binding upon </w:t>
      </w:r>
      <w:r w:rsidR="00DA6854" w:rsidRPr="00BD2206">
        <w:t>AEP Texas</w:t>
      </w:r>
      <w:r w:rsidRPr="00BD2206">
        <w:t xml:space="preserve"> and any other entity that provides transmission and distribution services or direct wire services to a person that was a retail </w:t>
      </w:r>
      <w:r w:rsidR="006F5BEF" w:rsidRPr="00BD2206">
        <w:t xml:space="preserve">customer </w:t>
      </w:r>
      <w:r w:rsidRPr="00BD2206">
        <w:t xml:space="preserve">located within </w:t>
      </w:r>
      <w:r w:rsidR="00DA6854" w:rsidRPr="00BD2206">
        <w:t>AEP Texas</w:t>
      </w:r>
      <w:r w:rsidRPr="00BD2206">
        <w:t xml:space="preserve">’ </w:t>
      </w:r>
      <w:r w:rsidR="00133914" w:rsidRPr="00BD2206">
        <w:t xml:space="preserve">Central Division </w:t>
      </w:r>
      <w:r w:rsidRPr="00BD2206">
        <w:t xml:space="preserve">service area as it existed on </w:t>
      </w:r>
      <w:r w:rsidR="00A63BE1" w:rsidRPr="00BD2206">
        <w:t>the date of this Financing Order</w:t>
      </w:r>
      <w:r w:rsidRPr="00BD2206">
        <w:t xml:space="preserve">, or that became a retail </w:t>
      </w:r>
      <w:r w:rsidR="004B10F4" w:rsidRPr="00BD2206">
        <w:t>customer</w:t>
      </w:r>
      <w:r w:rsidRPr="00BD2206">
        <w:t xml:space="preserve"> for electric services within such area after </w:t>
      </w:r>
      <w:r w:rsidR="00A63BE1" w:rsidRPr="00BD2206">
        <w:t>the date of this Financing Order</w:t>
      </w:r>
      <w:r w:rsidRPr="00BD2206">
        <w:t>, and is still located within such area, except as provided in Finding</w:t>
      </w:r>
      <w:r w:rsidR="001341E9" w:rsidRPr="00BD2206">
        <w:t>s</w:t>
      </w:r>
      <w:r w:rsidRPr="00BD2206">
        <w:t xml:space="preserve"> of Fact Nos. </w:t>
      </w:r>
      <w:r w:rsidR="006F5BEF" w:rsidRPr="00BD2206">
        <w:t>71</w:t>
      </w:r>
      <w:r w:rsidRPr="00BD2206">
        <w:t xml:space="preserve"> </w:t>
      </w:r>
      <w:r w:rsidR="006F5BEF" w:rsidRPr="00BD2206">
        <w:t xml:space="preserve">and </w:t>
      </w:r>
      <w:r w:rsidR="00B16D02" w:rsidRPr="00BD2206">
        <w:t>7</w:t>
      </w:r>
      <w:r w:rsidR="006F5BEF" w:rsidRPr="00BD2206">
        <w:t>2</w:t>
      </w:r>
      <w:r w:rsidRPr="00BD2206">
        <w:t xml:space="preserve">.  Further, and to the extent REPs are responsible for imposing and billing </w:t>
      </w:r>
      <w:r w:rsidR="009761B6" w:rsidRPr="00BD2206">
        <w:t xml:space="preserve">system restoration </w:t>
      </w:r>
      <w:r w:rsidRPr="00BD2206">
        <w:t xml:space="preserve">charges on behalf of </w:t>
      </w:r>
      <w:proofErr w:type="spellStart"/>
      <w:r w:rsidRPr="00BD2206">
        <w:t>BondCo</w:t>
      </w:r>
      <w:proofErr w:type="spellEnd"/>
      <w:r w:rsidRPr="00BD2206">
        <w:t xml:space="preserve">, billing and credit standards approved in this Financing Order will be binding on all REPs that bill and collect </w:t>
      </w:r>
      <w:r w:rsidR="002F5A55" w:rsidRPr="00BD2206">
        <w:t xml:space="preserve">system restoration </w:t>
      </w:r>
      <w:r w:rsidRPr="00BD2206">
        <w:t xml:space="preserve">charges from such retail </w:t>
      </w:r>
      <w:r w:rsidR="00824E79" w:rsidRPr="00BD2206">
        <w:t>customers</w:t>
      </w:r>
      <w:r w:rsidRPr="00BD2206">
        <w:t>, together with their successors and assigns.  The Commission will enforce the obligations imposed by this Financing Order, its applicable substantive rules, and statutory provisions.</w:t>
      </w:r>
      <w:bookmarkStart w:id="570" w:name="_Ref484424028"/>
      <w:bookmarkStart w:id="571" w:name="_Toc83701903"/>
      <w:bookmarkStart w:id="572" w:name="_Toc83703763"/>
      <w:bookmarkEnd w:id="567"/>
      <w:bookmarkEnd w:id="568"/>
      <w:bookmarkEnd w:id="569"/>
    </w:p>
    <w:p w14:paraId="61FDE94B" w14:textId="77777777" w:rsidR="003631D6" w:rsidRPr="00BD2206" w:rsidRDefault="003631D6" w:rsidP="003631D6">
      <w:pPr>
        <w:pStyle w:val="FOFNumbered"/>
      </w:pPr>
      <w:bookmarkStart w:id="573" w:name="_Ref138485856"/>
      <w:r w:rsidRPr="00BD2206">
        <w:t>To the extent that any interest in the transition property created by this Financing Order is assigned, sold or transferred to an assignee,</w:t>
      </w:r>
      <w:r w:rsidRPr="00BD2206">
        <w:rPr>
          <w:rStyle w:val="FootnoteReference"/>
        </w:rPr>
        <w:footnoteReference w:id="59"/>
      </w:r>
      <w:r w:rsidRPr="00BD2206">
        <w:t xml:space="preserve"> </w:t>
      </w:r>
      <w:r w:rsidR="00DA6854" w:rsidRPr="00BD2206">
        <w:t>AEP Texas</w:t>
      </w:r>
      <w:r w:rsidRPr="00BD2206">
        <w:t xml:space="preserve"> will enter into a contract with that assignee that will require </w:t>
      </w:r>
      <w:r w:rsidR="00DA6854" w:rsidRPr="00BD2206">
        <w:t>AEP Texas</w:t>
      </w:r>
      <w:r w:rsidRPr="00BD2206">
        <w:t xml:space="preserve"> to continue to operate its transmission and distribution system in order to provide electric services to </w:t>
      </w:r>
      <w:r w:rsidR="00DA6854" w:rsidRPr="00BD2206">
        <w:t>AEP Texas</w:t>
      </w:r>
      <w:r w:rsidR="001C0F30" w:rsidRPr="00BD2206">
        <w:t>’</w:t>
      </w:r>
      <w:r w:rsidRPr="00BD2206">
        <w:t xml:space="preserve"> customers.  This provision does not prohibit </w:t>
      </w:r>
      <w:r w:rsidR="00DA6854" w:rsidRPr="00BD2206">
        <w:t>AEP Texas</w:t>
      </w:r>
      <w:r w:rsidRPr="00BD2206">
        <w:t xml:space="preserve"> from selling, assigning</w:t>
      </w:r>
      <w:bookmarkEnd w:id="570"/>
      <w:r w:rsidRPr="00BD2206">
        <w:t xml:space="preserve"> or otherwise divesting its transmission and distribution system or any part thereof so long as the entity acquiring such facilities agrees to continue operating the facilities to provide electric services to </w:t>
      </w:r>
      <w:r w:rsidR="00DA6854" w:rsidRPr="00BD2206">
        <w:t>AEP Texas</w:t>
      </w:r>
      <w:r w:rsidR="00A1709B" w:rsidRPr="00BD2206">
        <w:t>’</w:t>
      </w:r>
      <w:r w:rsidRPr="00BD2206">
        <w:t xml:space="preserve"> customers.</w:t>
      </w:r>
      <w:bookmarkStart w:id="574" w:name="_Toc83701906"/>
      <w:bookmarkStart w:id="575" w:name="_Toc83703766"/>
      <w:bookmarkEnd w:id="571"/>
      <w:bookmarkEnd w:id="572"/>
      <w:bookmarkEnd w:id="573"/>
    </w:p>
    <w:p w14:paraId="64EBD928" w14:textId="2E22740E" w:rsidR="003631D6" w:rsidRPr="00BD2206" w:rsidRDefault="003631D6" w:rsidP="003631D6">
      <w:pPr>
        <w:pStyle w:val="FOFNumbered"/>
      </w:pPr>
      <w:r w:rsidRPr="00BD2206">
        <w:t>The provisions described in Finding</w:t>
      </w:r>
      <w:r w:rsidR="006E6444" w:rsidRPr="00BD2206">
        <w:t>s</w:t>
      </w:r>
      <w:r w:rsidRPr="00BD2206">
        <w:t xml:space="preserve"> of Fact Nos. 4</w:t>
      </w:r>
      <w:r w:rsidR="00B8682A" w:rsidRPr="00BD2206">
        <w:t>5</w:t>
      </w:r>
      <w:r w:rsidRPr="00BD2206">
        <w:t xml:space="preserve"> through 4</w:t>
      </w:r>
      <w:r w:rsidR="00B8682A" w:rsidRPr="00BD2206">
        <w:t>9</w:t>
      </w:r>
      <w:r w:rsidRPr="00BD2206">
        <w:t xml:space="preserve"> are reasonable, will reduce risk associated with the proposed securitization and will, therefore, result in lower </w:t>
      </w:r>
      <w:r w:rsidR="007F2651" w:rsidRPr="00BD2206">
        <w:t xml:space="preserve">system restoration </w:t>
      </w:r>
      <w:r w:rsidRPr="00BD2206">
        <w:t xml:space="preserve">bond charges and greater benefits to </w:t>
      </w:r>
      <w:r w:rsidR="00824E79" w:rsidRPr="00BD2206">
        <w:t xml:space="preserve">ratepayers </w:t>
      </w:r>
      <w:r w:rsidRPr="00BD2206">
        <w:t>and should be approved.</w:t>
      </w:r>
      <w:bookmarkStart w:id="576" w:name="_Toc88378145"/>
      <w:bookmarkStart w:id="577" w:name="_Toc88379117"/>
      <w:bookmarkStart w:id="578" w:name="_Toc88379339"/>
      <w:bookmarkStart w:id="579" w:name="_Toc88379559"/>
      <w:bookmarkStart w:id="580" w:name="_Toc88379777"/>
      <w:bookmarkStart w:id="581" w:name="_Toc88379965"/>
      <w:bookmarkStart w:id="582" w:name="_Toc88380148"/>
      <w:bookmarkStart w:id="583" w:name="_Toc88380278"/>
      <w:bookmarkStart w:id="584" w:name="_Toc88380435"/>
      <w:bookmarkStart w:id="585" w:name="_Toc88380527"/>
      <w:bookmarkStart w:id="586" w:name="_Toc88380619"/>
      <w:bookmarkEnd w:id="574"/>
      <w:bookmarkEnd w:id="575"/>
    </w:p>
    <w:p w14:paraId="46F6B77C" w14:textId="77777777" w:rsidR="003631D6" w:rsidRPr="00BD2206" w:rsidRDefault="003631D6" w:rsidP="003631D6">
      <w:pPr>
        <w:pStyle w:val="Heading3"/>
      </w:pPr>
      <w:bookmarkStart w:id="587" w:name="_Toc97535670"/>
      <w:bookmarkStart w:id="588" w:name="_Toc158028400"/>
      <w:bookmarkStart w:id="589" w:name="_Toc177539451"/>
      <w:bookmarkStart w:id="590" w:name="_Toc2778504"/>
      <w:r w:rsidRPr="00BD2206">
        <w:t>Retail Electric Providers</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01E9F5BB" w14:textId="7A3A808E" w:rsidR="003631D6" w:rsidRPr="00BD2206" w:rsidRDefault="003631D6" w:rsidP="003631D6">
      <w:pPr>
        <w:pStyle w:val="FOFNumbered"/>
      </w:pPr>
      <w:bookmarkStart w:id="591" w:name="_Toc83701907"/>
      <w:bookmarkStart w:id="592" w:name="_Toc83703768"/>
      <w:r w:rsidRPr="00BD2206">
        <w:t xml:space="preserve">The servicer will bill the </w:t>
      </w:r>
      <w:r w:rsidR="001C0F30" w:rsidRPr="00BD2206">
        <w:t xml:space="preserve">system restoration </w:t>
      </w:r>
      <w:r w:rsidRPr="00BD2206">
        <w:t xml:space="preserve">charges to each retail </w:t>
      </w:r>
      <w:r w:rsidR="004B10F4" w:rsidRPr="00BD2206">
        <w:t>customer</w:t>
      </w:r>
      <w:r w:rsidRPr="00BD2206">
        <w:t xml:space="preserve">’s REP and the REP will collect the </w:t>
      </w:r>
      <w:r w:rsidR="001C0F30" w:rsidRPr="00BD2206">
        <w:t xml:space="preserve">system restoration </w:t>
      </w:r>
      <w:r w:rsidRPr="00BD2206">
        <w:t>charges from its retail customers.</w:t>
      </w:r>
      <w:bookmarkStart w:id="593" w:name="_Ref484404198"/>
      <w:bookmarkStart w:id="594" w:name="_Toc83701909"/>
      <w:bookmarkStart w:id="595" w:name="_Toc83703770"/>
      <w:bookmarkEnd w:id="591"/>
      <w:bookmarkEnd w:id="592"/>
    </w:p>
    <w:p w14:paraId="0784A6B5" w14:textId="4C869074" w:rsidR="003631D6" w:rsidRPr="00BD2206" w:rsidRDefault="003631D6" w:rsidP="003631D6">
      <w:pPr>
        <w:pStyle w:val="FOFNumbered"/>
      </w:pPr>
      <w:r w:rsidRPr="00BD2206">
        <w:t xml:space="preserve">Schedule </w:t>
      </w:r>
      <w:r w:rsidR="001C0F30" w:rsidRPr="00BD2206">
        <w:t>SRC</w:t>
      </w:r>
      <w:r w:rsidRPr="00BD2206">
        <w:t xml:space="preserve"> sets forth minimum billing and collection standards to apply to REPs that collect </w:t>
      </w:r>
      <w:r w:rsidR="001C0F30" w:rsidRPr="00BD2206">
        <w:t xml:space="preserve">system restoration </w:t>
      </w:r>
      <w:r w:rsidRPr="00BD2206">
        <w:t xml:space="preserve">charges approved by this Financing Order from retail </w:t>
      </w:r>
      <w:r w:rsidR="00824E79" w:rsidRPr="00BD2206">
        <w:t>customers</w:t>
      </w:r>
      <w:r w:rsidRPr="00BD2206">
        <w:t xml:space="preserve">.  The Commission finds that the REP standards set forth in Schedule </w:t>
      </w:r>
      <w:r w:rsidR="001C0F30" w:rsidRPr="00BD2206">
        <w:t>SRC</w:t>
      </w:r>
      <w:r w:rsidRPr="00BD2206">
        <w:t xml:space="preserve"> are appropriate and should be adopted.</w:t>
      </w:r>
      <w:bookmarkStart w:id="596" w:name="_Ref484368857"/>
      <w:bookmarkStart w:id="597" w:name="_Toc83701910"/>
      <w:bookmarkStart w:id="598" w:name="_Toc83703771"/>
      <w:bookmarkEnd w:id="593"/>
      <w:bookmarkEnd w:id="594"/>
      <w:bookmarkEnd w:id="595"/>
    </w:p>
    <w:p w14:paraId="06FC21D6" w14:textId="7A9496C8" w:rsidR="003631D6" w:rsidRPr="00BD2206" w:rsidRDefault="003631D6" w:rsidP="003631D6">
      <w:pPr>
        <w:pStyle w:val="FOFNumbered"/>
      </w:pPr>
      <w:bookmarkStart w:id="599" w:name="_Ref138485538"/>
      <w:r w:rsidRPr="00BD2206">
        <w:t xml:space="preserve">The REP standards set forth in Schedule </w:t>
      </w:r>
      <w:r w:rsidR="001C0F30" w:rsidRPr="00BD2206">
        <w:t>SR</w:t>
      </w:r>
      <w:r w:rsidRPr="00BD2206">
        <w:t xml:space="preserve">C relate only to the billing and collection of </w:t>
      </w:r>
      <w:r w:rsidR="001C0F30" w:rsidRPr="00BD2206">
        <w:t xml:space="preserve">system restoration </w:t>
      </w:r>
      <w:r w:rsidRPr="00BD2206">
        <w:t xml:space="preserve">charges authorized under this Financing Order, and do not apply to collection of any other </w:t>
      </w:r>
      <w:proofErr w:type="spellStart"/>
      <w:r w:rsidRPr="00BD2206">
        <w:t>nonbypassable</w:t>
      </w:r>
      <w:proofErr w:type="spellEnd"/>
      <w:r w:rsidRPr="00BD2206">
        <w:t xml:space="preserve"> charges or other charges.  The standards apply to all REPs other than REPs that have contracted with </w:t>
      </w:r>
      <w:r w:rsidR="00DA6854" w:rsidRPr="00BD2206">
        <w:t>AEP Texas</w:t>
      </w:r>
      <w:r w:rsidRPr="00BD2206">
        <w:t xml:space="preserve"> to have </w:t>
      </w:r>
      <w:r w:rsidR="00DA6854" w:rsidRPr="00BD2206">
        <w:t>AEP Texas</w:t>
      </w:r>
      <w:r w:rsidRPr="00BD2206">
        <w:t xml:space="preserve"> bill and collect </w:t>
      </w:r>
      <w:r w:rsidR="001C0F30" w:rsidRPr="00BD2206">
        <w:t xml:space="preserve">system restoration </w:t>
      </w:r>
      <w:r w:rsidRPr="00BD2206">
        <w:t xml:space="preserve">charges from </w:t>
      </w:r>
      <w:r w:rsidR="001C0F30" w:rsidRPr="00BD2206">
        <w:t xml:space="preserve">the </w:t>
      </w:r>
      <w:proofErr w:type="spellStart"/>
      <w:r w:rsidR="001C0F30" w:rsidRPr="00BD2206">
        <w:t>REPs’</w:t>
      </w:r>
      <w:proofErr w:type="spellEnd"/>
      <w:r w:rsidRPr="00BD2206">
        <w:t xml:space="preserve"> retail </w:t>
      </w:r>
      <w:r w:rsidR="00824E79" w:rsidRPr="00BD2206">
        <w:t>customers</w:t>
      </w:r>
      <w:r w:rsidRPr="00BD2206">
        <w:t xml:space="preserve">.  REPs may contract with parties other than </w:t>
      </w:r>
      <w:r w:rsidR="00DA6854" w:rsidRPr="00BD2206">
        <w:t>AEP Texas</w:t>
      </w:r>
      <w:r w:rsidRPr="00BD2206">
        <w:t xml:space="preserve"> to bill and collect </w:t>
      </w:r>
      <w:r w:rsidR="001C0F30" w:rsidRPr="00BD2206">
        <w:t xml:space="preserve">system restoration </w:t>
      </w:r>
      <w:r w:rsidRPr="00BD2206">
        <w:t xml:space="preserve">charges from retail </w:t>
      </w:r>
      <w:r w:rsidR="00824E79" w:rsidRPr="00BD2206">
        <w:t>customers</w:t>
      </w:r>
      <w:r w:rsidRPr="00BD2206">
        <w:t>, but such parties shall remain subject to these standards.  Upon adoption of any amendment to</w:t>
      </w:r>
      <w:r w:rsidRPr="00BD2206">
        <w:rPr>
          <w:smallCaps/>
        </w:rPr>
        <w:t xml:space="preserve"> P.U.C. </w:t>
      </w:r>
      <w:r w:rsidRPr="00BD2206">
        <w:rPr>
          <w:rFonts w:ascii="Times New (W1)" w:hAnsi="Times New (W1)"/>
          <w:smallCaps/>
          <w:szCs w:val="24"/>
        </w:rPr>
        <w:t>Subst. R</w:t>
      </w:r>
      <w:r w:rsidRPr="00BD2206">
        <w:rPr>
          <w:smallCaps/>
        </w:rPr>
        <w:t>.</w:t>
      </w:r>
      <w:r w:rsidRPr="00BD2206">
        <w:t xml:space="preserve"> 25.108, the Commission Staff will open a proceeding to investigate the need to modify the standards in Schedule </w:t>
      </w:r>
      <w:r w:rsidR="001C0F30" w:rsidRPr="00BD2206">
        <w:t>SR</w:t>
      </w:r>
      <w:r w:rsidRPr="00BD2206">
        <w:t xml:space="preserve">C to conform to that rule, provided that such modifications may not be implemented absent prior written confirmation </w:t>
      </w:r>
      <w:r w:rsidR="00B8682A" w:rsidRPr="00BD2206">
        <w:t xml:space="preserve">(or deemed inapplicability of such confirmation requirement) </w:t>
      </w:r>
      <w:r w:rsidRPr="00BD2206">
        <w:t xml:space="preserve">from each of the rating agencies that have rated the </w:t>
      </w:r>
      <w:r w:rsidR="001C0F30" w:rsidRPr="00BD2206">
        <w:t xml:space="preserve">system restoration </w:t>
      </w:r>
      <w:r w:rsidRPr="00BD2206">
        <w:t xml:space="preserve">bonds that such modifications will not cause a suspension, withdrawal, or downgrade of the ratings on the </w:t>
      </w:r>
      <w:r w:rsidR="001C0F30" w:rsidRPr="00BD2206">
        <w:t xml:space="preserve">system restoration </w:t>
      </w:r>
      <w:r w:rsidRPr="00BD2206">
        <w:t>bonds.</w:t>
      </w:r>
      <w:bookmarkStart w:id="600" w:name="_Ref484368874"/>
      <w:bookmarkStart w:id="601" w:name="_Toc83701911"/>
      <w:bookmarkStart w:id="602" w:name="_Toc83703772"/>
      <w:bookmarkEnd w:id="596"/>
      <w:bookmarkEnd w:id="597"/>
      <w:bookmarkEnd w:id="598"/>
      <w:bookmarkEnd w:id="599"/>
    </w:p>
    <w:p w14:paraId="11AABC11" w14:textId="77777777" w:rsidR="003631D6" w:rsidRPr="00BD2206" w:rsidRDefault="003631D6" w:rsidP="003631D6">
      <w:pPr>
        <w:pStyle w:val="BodyText"/>
      </w:pPr>
      <w:bookmarkStart w:id="603" w:name="_Ref138485639"/>
      <w:r w:rsidRPr="00BD2206">
        <w:t>The REP stand</w:t>
      </w:r>
      <w:r w:rsidRPr="00BD2206">
        <w:rPr>
          <w:bCs/>
        </w:rPr>
        <w:t>a</w:t>
      </w:r>
      <w:r w:rsidRPr="00BD2206">
        <w:t>rds are as follows:</w:t>
      </w:r>
      <w:bookmarkEnd w:id="600"/>
      <w:bookmarkEnd w:id="601"/>
      <w:bookmarkEnd w:id="602"/>
      <w:bookmarkEnd w:id="603"/>
    </w:p>
    <w:p w14:paraId="5DFD9EA3" w14:textId="77777777" w:rsidR="003631D6" w:rsidRPr="00BD2206" w:rsidRDefault="003631D6" w:rsidP="00B42FAC">
      <w:pPr>
        <w:pStyle w:val="Heading4"/>
        <w:ind w:left="720"/>
        <w:rPr>
          <w:bCs/>
        </w:rPr>
      </w:pPr>
      <w:r w:rsidRPr="00BD2206">
        <w:rPr>
          <w:bCs/>
        </w:rPr>
        <w:t>Rating, Deposit, and Related Requirements.</w:t>
      </w:r>
    </w:p>
    <w:p w14:paraId="65BBAA94" w14:textId="77777777" w:rsidR="003631D6" w:rsidRPr="00BD2206" w:rsidRDefault="003631D6" w:rsidP="003631D6">
      <w:pPr>
        <w:pStyle w:val="BodyText"/>
        <w:ind w:left="720"/>
      </w:pPr>
      <w:r w:rsidRPr="00BD2206">
        <w:t xml:space="preserve">Each REP must (1) have a long-term, unsecured credit rating of not less than “BBB-” and “Baa3” (or the equivalent) from Standard &amp; Poor’s and Moody’s Investors Service, respectively, or (2) provide (a) a deposit of two months’ maximum expected </w:t>
      </w:r>
      <w:r w:rsidR="00406B9A" w:rsidRPr="00BD2206">
        <w:t xml:space="preserve">system restoration </w:t>
      </w:r>
      <w:r w:rsidRPr="00BD2206">
        <w:t xml:space="preserve">charge collections in the form of cash, (b) an affiliate guarantee, surety bond, or letter of credit providing for payment of such amount of </w:t>
      </w:r>
      <w:r w:rsidR="00406B9A" w:rsidRPr="00BD2206">
        <w:t xml:space="preserve">system restoration </w:t>
      </w:r>
      <w:r w:rsidRPr="00BD2206">
        <w:t>charge collections in the event that the REP defaults in its payment obligations, or (c) a combination of any of the foregoing.  A REP that does not have or maintain the requisite long-term, unsecured credit rating may select which alternate form of deposit, credit support, or combination thereof it will utilize, in its sole discretion.  The indenture trustee shall be a beneficiary of any affiliate guarantee, surety bond or letter of credit.  The provider of any affiliate guarantee, surety bond, or letter of credit must have and maintain a long-term, unsecured credit rating of not less than “BBB-” and “Baa3” (or the equivalent) from Standard &amp; Poor’s and Moody’s Investors Service, respectively.</w:t>
      </w:r>
    </w:p>
    <w:p w14:paraId="6B8BE806" w14:textId="77777777" w:rsidR="003631D6" w:rsidRPr="00BD2206" w:rsidRDefault="003631D6" w:rsidP="00C766B6">
      <w:pPr>
        <w:pStyle w:val="Heading4"/>
        <w:ind w:left="720"/>
        <w:rPr>
          <w:bCs/>
        </w:rPr>
      </w:pPr>
      <w:r w:rsidRPr="00BD2206">
        <w:rPr>
          <w:bCs/>
        </w:rPr>
        <w:t>Loss of Rating.</w:t>
      </w:r>
    </w:p>
    <w:p w14:paraId="71511C79" w14:textId="77777777" w:rsidR="003631D6" w:rsidRPr="00BD2206" w:rsidRDefault="003631D6" w:rsidP="003631D6">
      <w:pPr>
        <w:pStyle w:val="BodyText"/>
        <w:ind w:left="720"/>
      </w:pPr>
      <w:r w:rsidRPr="00BD2206">
        <w:t xml:space="preserve">If the long-term, unsecured credit rating from either Standard &amp; Poor’s or Moody’s Investors Service of a REP that did not previously provide the alternate form of deposit, credit support, or combination thereof or of any provider of an affiliate guarantee, surety bond, or letter of credit is suspended, withdrawn, or downgraded below “BBB-” or “Baa3” (or the equivalent), the REP must provide the alternate form of deposit, credit support, or combination thereof, or new forms thereof, in each case from providers with the requisite ratings, within 10 business days following such suspension, withdrawal, or downgrade.  A REP failing to make such provision </w:t>
      </w:r>
      <w:r w:rsidRPr="00BD2206">
        <w:rPr>
          <w:sz w:val="22"/>
          <w:szCs w:val="22"/>
        </w:rPr>
        <w:t xml:space="preserve">must comply with the </w:t>
      </w:r>
      <w:r w:rsidRPr="00BD2206">
        <w:t>provisions set forth in Paragraph (e).</w:t>
      </w:r>
    </w:p>
    <w:p w14:paraId="4FBE362F" w14:textId="77777777" w:rsidR="003631D6" w:rsidRPr="00BD2206" w:rsidRDefault="003631D6" w:rsidP="00C766B6">
      <w:pPr>
        <w:pStyle w:val="Heading4"/>
        <w:ind w:left="720"/>
        <w:rPr>
          <w:bCs/>
        </w:rPr>
      </w:pPr>
      <w:r w:rsidRPr="00BD2206">
        <w:rPr>
          <w:bCs/>
        </w:rPr>
        <w:t>Computation of Deposit, etc.</w:t>
      </w:r>
    </w:p>
    <w:p w14:paraId="4F317606" w14:textId="77777777" w:rsidR="003631D6" w:rsidRPr="00BD2206" w:rsidRDefault="003631D6" w:rsidP="003631D6">
      <w:pPr>
        <w:pStyle w:val="BodyText"/>
        <w:ind w:left="720"/>
      </w:pPr>
      <w:r w:rsidRPr="00BD2206">
        <w:t xml:space="preserve">The computation of the size of a deposit required under Paragraph (a) shall be agreed upon by the servicer and the REP, and reviewed no more frequently than quarterly to ensure that the deposit accurately reflects two months’ maximum expected </w:t>
      </w:r>
      <w:r w:rsidR="00406B9A" w:rsidRPr="00BD2206">
        <w:t xml:space="preserve">system restoration </w:t>
      </w:r>
      <w:r w:rsidRPr="00BD2206">
        <w:t xml:space="preserve">charge collections.  Within 10 business days following such review, (1) the REP shall remit to the indenture trustee the amount of any shortfall in such required deposit or (2) the servicer shall instruct the indenture trustee to remit to the REP any amount in excess of such required deposit.  A REP failing to so remit any such shortfall must comply with the provisions set forth in Paragraph (e).  REP cash deposits shall be held by the indenture trustee, maintained in a segregated account, and invested in short-term high quality investments, as permitted by the rating agencies rating the </w:t>
      </w:r>
      <w:r w:rsidR="00A56180" w:rsidRPr="00BD2206">
        <w:t xml:space="preserve">system restoration </w:t>
      </w:r>
      <w:r w:rsidRPr="00BD2206">
        <w:t xml:space="preserve">bonds.  Investment earnings on REP cash deposits shall be considered part of such cash deposits so long as they remain on deposit with the indenture trustee.  At the instruction of the servicer, cash deposits will be remitted with investment earnings to the REP at the end of the term of the </w:t>
      </w:r>
      <w:r w:rsidR="00A56180" w:rsidRPr="00BD2206">
        <w:t xml:space="preserve">system restoration </w:t>
      </w:r>
      <w:r w:rsidRPr="00BD2206">
        <w:t xml:space="preserve">bonds unless otherwise utilized for the payment of the REP’s obligations for </w:t>
      </w:r>
      <w:r w:rsidR="003A3087" w:rsidRPr="00BD2206">
        <w:t xml:space="preserve">system restoration </w:t>
      </w:r>
      <w:r w:rsidRPr="00BD2206">
        <w:t>charges.  Once the deposit is no longer required, the servicer shall promptly (but not later than 30 calendar days) instruct the indenture trustee to remit the amounts in the segregated accounts to the REP.</w:t>
      </w:r>
    </w:p>
    <w:p w14:paraId="3789B2ED" w14:textId="77777777" w:rsidR="003631D6" w:rsidRPr="00BD2206" w:rsidRDefault="003631D6" w:rsidP="00C766B6">
      <w:pPr>
        <w:pStyle w:val="Heading4"/>
        <w:ind w:left="720"/>
        <w:rPr>
          <w:bCs/>
        </w:rPr>
      </w:pPr>
      <w:r w:rsidRPr="00BD2206">
        <w:rPr>
          <w:bCs/>
        </w:rPr>
        <w:t xml:space="preserve">Payment of </w:t>
      </w:r>
      <w:r w:rsidR="003A3087" w:rsidRPr="00BD2206">
        <w:t xml:space="preserve">System Restoration </w:t>
      </w:r>
      <w:r w:rsidRPr="00BD2206">
        <w:rPr>
          <w:bCs/>
        </w:rPr>
        <w:t>Charges.</w:t>
      </w:r>
    </w:p>
    <w:p w14:paraId="38A1F368" w14:textId="77777777" w:rsidR="003631D6" w:rsidRPr="00BD2206" w:rsidRDefault="003631D6" w:rsidP="003631D6">
      <w:pPr>
        <w:pStyle w:val="BodyText"/>
        <w:ind w:left="720"/>
      </w:pPr>
      <w:r w:rsidRPr="00BD2206">
        <w:t xml:space="preserve">Payments of </w:t>
      </w:r>
      <w:r w:rsidR="00706606" w:rsidRPr="00BD2206">
        <w:t xml:space="preserve">system restoration </w:t>
      </w:r>
      <w:r w:rsidRPr="00BD2206">
        <w:t xml:space="preserve">charges are due 35 calendar days following each billing by the servicer to the REP, without regard to whether or when the REP receives payment from its retail customers.  The servicer shall accept payment by electronic funds transfer, wire transfer, and/or check.  Payment will be considered received the date the electronic funds transfer or wire transfer is received by the servicer, or the date the check clears.  A 5% penalty is to be charged on amounts received after 35 calendar days; however, a 10 calendar-day grace period will be allowed before the REP is considered to be in default.  A REP in default must comply with the provisions set forth in Paragraph (e).  The 5% penalty will be a one-time assessment measured against the current amount overdue from the REP to the servicer.  The “current amount” consists of the total unpaid </w:t>
      </w:r>
      <w:r w:rsidR="00706606" w:rsidRPr="00BD2206">
        <w:t xml:space="preserve">system restoration </w:t>
      </w:r>
      <w:r w:rsidRPr="00BD2206">
        <w:t xml:space="preserve">charges existing on the 36th calendar day after billing by the servicer.  Any and all such penalty payments will be made to the indenture trustee to be applied against </w:t>
      </w:r>
      <w:r w:rsidR="00706606" w:rsidRPr="00BD2206">
        <w:t xml:space="preserve">system restoration </w:t>
      </w:r>
      <w:r w:rsidRPr="00BD2206">
        <w:t xml:space="preserve">charge obligations.  A REP shall not be obligated to pay the overdue </w:t>
      </w:r>
      <w:r w:rsidR="00706606" w:rsidRPr="00BD2206">
        <w:t xml:space="preserve">system restoration </w:t>
      </w:r>
      <w:r w:rsidRPr="00BD2206">
        <w:t xml:space="preserve">charges of another REP.  If a REP agrees to assume the responsibility for the payment of overdue </w:t>
      </w:r>
      <w:r w:rsidR="00706606" w:rsidRPr="00BD2206">
        <w:t xml:space="preserve">system restoration </w:t>
      </w:r>
      <w:r w:rsidRPr="00BD2206">
        <w:t xml:space="preserve">charges as a condition of receiving the customers of another REP that has decided to terminate service to those customers for any reason, the new REP shall not be assessed the 5% penalty upon such </w:t>
      </w:r>
      <w:r w:rsidR="00706606" w:rsidRPr="00BD2206">
        <w:t xml:space="preserve">system restoration </w:t>
      </w:r>
      <w:r w:rsidRPr="00BD2206">
        <w:t>charges; however, the prior REP shall not be relieved of the previously-assessed penalties.</w:t>
      </w:r>
    </w:p>
    <w:p w14:paraId="3803B74C" w14:textId="77777777" w:rsidR="003631D6" w:rsidRPr="00BD2206" w:rsidRDefault="003631D6" w:rsidP="00C766B6">
      <w:pPr>
        <w:pStyle w:val="Heading4"/>
        <w:ind w:left="720"/>
        <w:rPr>
          <w:bCs/>
        </w:rPr>
      </w:pPr>
      <w:r w:rsidRPr="00BD2206">
        <w:rPr>
          <w:szCs w:val="20"/>
        </w:rPr>
        <w:t>Remedies</w:t>
      </w:r>
      <w:r w:rsidRPr="00BD2206">
        <w:rPr>
          <w:bCs/>
        </w:rPr>
        <w:t xml:space="preserve"> Upon Default.</w:t>
      </w:r>
    </w:p>
    <w:p w14:paraId="019BA246" w14:textId="598060DD" w:rsidR="003631D6" w:rsidRPr="00BD2206" w:rsidRDefault="003631D6" w:rsidP="003631D6">
      <w:pPr>
        <w:pStyle w:val="BodyText"/>
        <w:ind w:left="720"/>
      </w:pPr>
      <w:r w:rsidRPr="00BD2206">
        <w:t xml:space="preserve">After the 10 calendar-day grace period (the 45th calendar day after the billing date) referred to in Paragraph (d), the servicer shall have the option to seek recourse against any cash deposit, affiliate guarantee, surety bond, letter of credit, or combination thereof provided by the REP, and avail itself of such legal remedies as may be appropriate to collect any remaining unpaid </w:t>
      </w:r>
      <w:r w:rsidR="00706606" w:rsidRPr="00BD2206">
        <w:t xml:space="preserve">system restoration </w:t>
      </w:r>
      <w:r w:rsidRPr="00BD2206">
        <w:t xml:space="preserve">charges and associated penalties due the servicer after the application of the REP’s deposit or alternate form of credit support.  In addition, a REP that is in default with respect to the requirements set forth in Paragraphs (b), (c), or (d) above shall, subject to the limitations and requirements of the bankruptcy code if the REP is a debtor in </w:t>
      </w:r>
      <w:r w:rsidR="00160493" w:rsidRPr="00BD2206">
        <w:t>bankruptcy, select</w:t>
      </w:r>
      <w:r w:rsidRPr="00BD2206">
        <w:t xml:space="preserve"> and implement one of the following options:</w:t>
      </w:r>
    </w:p>
    <w:p w14:paraId="4AAD0BBB" w14:textId="5AC30648" w:rsidR="003631D6" w:rsidRPr="00BD2206" w:rsidRDefault="003631D6" w:rsidP="005B35DB">
      <w:pPr>
        <w:pStyle w:val="BodyText"/>
        <w:ind w:left="1440" w:hanging="540"/>
      </w:pPr>
      <w:bookmarkStart w:id="604" w:name="_Toc83703778"/>
      <w:bookmarkStart w:id="605" w:name="_Toc83704115"/>
      <w:r w:rsidRPr="00BD2206">
        <w:t>(1)</w:t>
      </w:r>
      <w:r w:rsidRPr="00BD2206">
        <w:tab/>
        <w:t>Allo</w:t>
      </w:r>
      <w:r w:rsidR="005B35DB" w:rsidRPr="00BD2206">
        <w:t>w the Provider of Last Resort (</w:t>
      </w:r>
      <w:r w:rsidRPr="00BD2206">
        <w:t xml:space="preserve">POLR) or a qualified REP of the </w:t>
      </w:r>
      <w:r w:rsidR="007F3F59" w:rsidRPr="00BD2206">
        <w:t>retail customer’s</w:t>
      </w:r>
      <w:r w:rsidRPr="00BD2206">
        <w:t xml:space="preserve"> choosing to immediately assume the responsibility for the billing and collection of </w:t>
      </w:r>
      <w:r w:rsidR="00706606" w:rsidRPr="00BD2206">
        <w:t xml:space="preserve">system restoration </w:t>
      </w:r>
      <w:r w:rsidRPr="00BD2206">
        <w:t>charges.</w:t>
      </w:r>
      <w:bookmarkEnd w:id="604"/>
      <w:bookmarkEnd w:id="605"/>
    </w:p>
    <w:p w14:paraId="6BA7D688" w14:textId="77777777" w:rsidR="003631D6" w:rsidRPr="00BD2206" w:rsidRDefault="003631D6" w:rsidP="005B35DB">
      <w:pPr>
        <w:pStyle w:val="BodyText"/>
        <w:ind w:left="1440" w:hanging="540"/>
      </w:pPr>
      <w:bookmarkStart w:id="606" w:name="_Toc83703779"/>
      <w:bookmarkStart w:id="607" w:name="_Toc83704116"/>
      <w:r w:rsidRPr="00BD2206">
        <w:t>(2)</w:t>
      </w:r>
      <w:r w:rsidRPr="00BD2206">
        <w:tab/>
        <w:t xml:space="preserve">Immediately implement other mutually suitable and agreeable arrangements with the servicer.  It is expressly understood that the servicer’s ability to agree to any other arrangements will be limited by the terms of the servicing agreement and requirements of each of the rating agencies that have rated the </w:t>
      </w:r>
      <w:r w:rsidR="00706606" w:rsidRPr="00BD2206">
        <w:t xml:space="preserve">system restoration </w:t>
      </w:r>
      <w:r w:rsidRPr="00BD2206">
        <w:t xml:space="preserve">bonds necessary to avoid a suspension, withdrawal, or downgrade of the ratings on the </w:t>
      </w:r>
      <w:r w:rsidR="00706606" w:rsidRPr="00BD2206">
        <w:t xml:space="preserve">system restoration </w:t>
      </w:r>
      <w:r w:rsidRPr="00BD2206">
        <w:t>bonds.</w:t>
      </w:r>
      <w:bookmarkEnd w:id="606"/>
      <w:bookmarkEnd w:id="607"/>
    </w:p>
    <w:p w14:paraId="20DDFD4B" w14:textId="6E62D3C2" w:rsidR="003631D6" w:rsidRPr="00BD2206" w:rsidRDefault="003631D6" w:rsidP="005B35DB">
      <w:pPr>
        <w:pStyle w:val="BodyText"/>
        <w:ind w:left="1440" w:hanging="540"/>
      </w:pPr>
      <w:bookmarkStart w:id="608" w:name="_Toc83703780"/>
      <w:bookmarkStart w:id="609" w:name="_Toc83704117"/>
      <w:r w:rsidRPr="00BD2206">
        <w:t>(3)</w:t>
      </w:r>
      <w:r w:rsidRPr="00BD2206">
        <w:tab/>
        <w:t xml:space="preserve">Arrange that all amounts owed by retail </w:t>
      </w:r>
      <w:r w:rsidR="00824E79" w:rsidRPr="00BD2206">
        <w:t>customers</w:t>
      </w:r>
      <w:r w:rsidRPr="00BD2206">
        <w:t xml:space="preserve"> for services rendered be timely billed and immediately paid directly into a lock-box controlled by the servicer with such amounts to be applied first to pay </w:t>
      </w:r>
      <w:r w:rsidR="00706606" w:rsidRPr="00BD2206">
        <w:t xml:space="preserve">system restoration </w:t>
      </w:r>
      <w:r w:rsidRPr="00BD2206">
        <w:t>charges before the remaining amounts are released to the REP.  All costs associated with this mechanism will be borne solely by the REP.</w:t>
      </w:r>
      <w:bookmarkEnd w:id="608"/>
      <w:bookmarkEnd w:id="609"/>
    </w:p>
    <w:p w14:paraId="7F4AF0A5" w14:textId="77777777" w:rsidR="003631D6" w:rsidRPr="00BD2206" w:rsidRDefault="003631D6" w:rsidP="003631D6">
      <w:pPr>
        <w:pStyle w:val="BodyText"/>
        <w:ind w:left="720"/>
        <w:rPr>
          <w:sz w:val="22"/>
          <w:szCs w:val="22"/>
        </w:rPr>
      </w:pPr>
      <w:r w:rsidRPr="00BD2206">
        <w:t xml:space="preserve">If a REP that is in default fails to immediately select and implement one of the foregoing options or, after so selecting one of the foregoing options, fails to adequately meet its responsibilities thereunder, then the servicer shall immediately implement option (1), subject to the limitations and requirements of the bankruptcy code if the REP is a debtor in bankruptcy.  Upon re-establishment of compliance with the requirements set forth in Paragraphs (b), (c) and (d) above and the payment of all past-due amounts and associated penalties, the REP will no longer be required to comply with this </w:t>
      </w:r>
      <w:r w:rsidRPr="00BD2206">
        <w:rPr>
          <w:sz w:val="22"/>
          <w:szCs w:val="22"/>
        </w:rPr>
        <w:t>paragraph.</w:t>
      </w:r>
    </w:p>
    <w:p w14:paraId="78FEF84D" w14:textId="77777777" w:rsidR="003631D6" w:rsidRPr="00BD2206" w:rsidRDefault="003631D6" w:rsidP="00C766B6">
      <w:pPr>
        <w:pStyle w:val="Heading4"/>
        <w:ind w:left="720"/>
        <w:rPr>
          <w:bCs/>
        </w:rPr>
      </w:pPr>
      <w:r w:rsidRPr="00BD2206">
        <w:rPr>
          <w:bCs/>
        </w:rPr>
        <w:t xml:space="preserve">Interest of REPs (including the POLR) in Funds Held by Servicer.  </w:t>
      </w:r>
    </w:p>
    <w:p w14:paraId="6888A6AB" w14:textId="77777777" w:rsidR="003631D6" w:rsidRPr="00BD2206" w:rsidRDefault="003631D6" w:rsidP="003631D6">
      <w:pPr>
        <w:pStyle w:val="BodyText"/>
        <w:ind w:left="720"/>
      </w:pPr>
      <w:r w:rsidRPr="00BD2206">
        <w:t xml:space="preserve">Any interest that a REP (including the POLR) may have in any funds in the hands of the servicer shall be junior and subordinate to any and all rights of the indenture trustee or </w:t>
      </w:r>
      <w:proofErr w:type="spellStart"/>
      <w:r w:rsidRPr="00BD2206">
        <w:t>BondCo</w:t>
      </w:r>
      <w:proofErr w:type="spellEnd"/>
      <w:r w:rsidRPr="00BD2206">
        <w:t xml:space="preserve"> to such funds.</w:t>
      </w:r>
    </w:p>
    <w:p w14:paraId="5D6EE255" w14:textId="77777777" w:rsidR="003631D6" w:rsidRPr="00BD2206" w:rsidRDefault="003631D6" w:rsidP="00C766B6">
      <w:pPr>
        <w:pStyle w:val="Heading4"/>
        <w:ind w:left="720"/>
        <w:rPr>
          <w:bCs/>
        </w:rPr>
      </w:pPr>
      <w:r w:rsidRPr="00BD2206">
        <w:rPr>
          <w:bCs/>
        </w:rPr>
        <w:t xml:space="preserve">Billing by Providers of Last Resort, etc.  </w:t>
      </w:r>
    </w:p>
    <w:p w14:paraId="01EDCC85" w14:textId="2D35D587" w:rsidR="003631D6" w:rsidRPr="00BD2206" w:rsidRDefault="003631D6" w:rsidP="003631D6">
      <w:pPr>
        <w:pStyle w:val="BodyText"/>
        <w:ind w:left="720"/>
      </w:pPr>
      <w:r w:rsidRPr="00BD2206">
        <w:t xml:space="preserve">The POLR appointed by the Commission must meet the minimum credit rating or deposit/credit support requirements described in Paragraph (a) in addition to any other standards that may be adopted by the Commission.  If the POLR defaults or is not eligible to provide such services, responsibility for billing and collection of </w:t>
      </w:r>
      <w:r w:rsidR="000A2C1F" w:rsidRPr="00BD2206">
        <w:t xml:space="preserve">system restoration </w:t>
      </w:r>
      <w:r w:rsidRPr="00BD2206">
        <w:t xml:space="preserve">charges will immediately be transferred to and assumed by the servicer until a new POLR can be named by the Commission or the </w:t>
      </w:r>
      <w:r w:rsidR="004B10F4" w:rsidRPr="00BD2206">
        <w:t>customer</w:t>
      </w:r>
      <w:r w:rsidRPr="00BD2206">
        <w:t xml:space="preserve"> requests the services of a certified REP.  Retail </w:t>
      </w:r>
      <w:r w:rsidR="00824E79" w:rsidRPr="00BD2206">
        <w:t>customers</w:t>
      </w:r>
      <w:r w:rsidRPr="00BD2206">
        <w:t xml:space="preserve"> may never be re-billed by the successor REP, the POLR, or the servicer for any amount of </w:t>
      </w:r>
      <w:r w:rsidR="000A2C1F" w:rsidRPr="00BD2206">
        <w:t xml:space="preserve">system restoration </w:t>
      </w:r>
      <w:r w:rsidRPr="00BD2206">
        <w:t xml:space="preserve">charges they have paid their REP (although future </w:t>
      </w:r>
      <w:r w:rsidR="00A56180" w:rsidRPr="00BD2206">
        <w:t xml:space="preserve">system restoration </w:t>
      </w:r>
      <w:r w:rsidRPr="00BD2206">
        <w:t>charges shall reflect REP and other system-wide charge-offs).  Additionally, if the amount of the penalty detailed in Paragraph (d) is the sole remaining past-due amount after the 45th calendar day, the REP shall not be required to comply with clauses (1), (2), or (3) of Paragraph (e) above, unless the penalty is not paid within an additional 30 calendar days.</w:t>
      </w:r>
    </w:p>
    <w:p w14:paraId="1ACBC48A" w14:textId="77777777" w:rsidR="003631D6" w:rsidRPr="00BD2206" w:rsidRDefault="003631D6" w:rsidP="00C766B6">
      <w:pPr>
        <w:pStyle w:val="Heading4"/>
        <w:ind w:left="720"/>
        <w:rPr>
          <w:bCs/>
        </w:rPr>
      </w:pPr>
      <w:r w:rsidRPr="00BD2206">
        <w:rPr>
          <w:bCs/>
        </w:rPr>
        <w:t xml:space="preserve">Disputes.  </w:t>
      </w:r>
    </w:p>
    <w:p w14:paraId="163F9AC9" w14:textId="77777777" w:rsidR="003631D6" w:rsidRPr="00BD2206" w:rsidRDefault="003631D6" w:rsidP="003631D6">
      <w:pPr>
        <w:pStyle w:val="BodyText"/>
        <w:ind w:left="720"/>
      </w:pPr>
      <w:r w:rsidRPr="00BD2206">
        <w:t xml:space="preserve">In the event that a REP disputes any amount of billed </w:t>
      </w:r>
      <w:r w:rsidR="000A2C1F" w:rsidRPr="00BD2206">
        <w:t xml:space="preserve">system restoration </w:t>
      </w:r>
      <w:r w:rsidRPr="00BD2206">
        <w:t xml:space="preserve">charges, the REP shall pay the disputed amount under protest according to the timelines detailed in Paragraph (d).  The REP and servicer shall first attempt to informally resolve the dispute, but if they fail to do so within 30 calendar days, either party may file a complaint with the Commission.  If the REP is successful in the dispute process (informal or formal), the REP shall be entitled to interest on the disputed amount paid to the servicer at the Commission-approved interest rate.  Disputes about the date of receipt of </w:t>
      </w:r>
      <w:r w:rsidR="000A2C1F" w:rsidRPr="00BD2206">
        <w:t xml:space="preserve">system restoration </w:t>
      </w:r>
      <w:r w:rsidRPr="00BD2206">
        <w:t xml:space="preserve">charge payments (and penalties arising thereof) or the size of a required REP deposit will be handled in a like manner.  It is expressly intended that any interest paid by the servicer on disputed amounts shall not be recovered through </w:t>
      </w:r>
      <w:r w:rsidR="000A2C1F" w:rsidRPr="00BD2206">
        <w:t xml:space="preserve">system restoration </w:t>
      </w:r>
      <w:r w:rsidRPr="00BD2206">
        <w:t>charges if it is determined that the servicer’s claim to the funds is clearly unfounded.  No interest shall be paid by the servicer if it is determined that the servicer has received inaccurate metering data from another entity providing competitive metering services pursuant to PURA § 39.107.</w:t>
      </w:r>
    </w:p>
    <w:p w14:paraId="2121C16D" w14:textId="77777777" w:rsidR="003631D6" w:rsidRPr="00BD2206" w:rsidRDefault="003631D6" w:rsidP="00C766B6">
      <w:pPr>
        <w:pStyle w:val="Heading4"/>
        <w:ind w:left="720"/>
        <w:rPr>
          <w:bCs/>
        </w:rPr>
      </w:pPr>
      <w:r w:rsidRPr="00BD2206">
        <w:rPr>
          <w:bCs/>
        </w:rPr>
        <w:t xml:space="preserve">Metering Data. </w:t>
      </w:r>
    </w:p>
    <w:p w14:paraId="2706331D" w14:textId="77777777" w:rsidR="003631D6" w:rsidRPr="00BD2206" w:rsidRDefault="003631D6" w:rsidP="003631D6">
      <w:pPr>
        <w:pStyle w:val="BodyText"/>
        <w:ind w:left="720"/>
      </w:pPr>
      <w:r w:rsidRPr="00BD2206">
        <w:t>If the servicer is providing the metering, metering data will be provided to the REP at the same time as the billing.  If the servicer is not providing the metering, the entity providing the metering services will be responsible for complying with Commission rules and ensuring that the servicer and the REP receive timely and accurate metering data in order for the servicer to meet its obligations under the servicing agreement and this Financing Order with respect to billing and true-ups.</w:t>
      </w:r>
    </w:p>
    <w:p w14:paraId="33E3A213" w14:textId="77777777" w:rsidR="003631D6" w:rsidRPr="00BD2206" w:rsidRDefault="003631D6" w:rsidP="00C766B6">
      <w:pPr>
        <w:pStyle w:val="Heading4"/>
        <w:ind w:left="720"/>
        <w:rPr>
          <w:bCs/>
        </w:rPr>
      </w:pPr>
      <w:r w:rsidRPr="00BD2206">
        <w:rPr>
          <w:bCs/>
        </w:rPr>
        <w:t xml:space="preserve">Charge-Off Allowance.  </w:t>
      </w:r>
    </w:p>
    <w:p w14:paraId="3ECD71C5" w14:textId="227A39EF" w:rsidR="003631D6" w:rsidRPr="00BD2206" w:rsidRDefault="003631D6" w:rsidP="003631D6">
      <w:pPr>
        <w:pStyle w:val="BodyText"/>
        <w:ind w:left="720"/>
      </w:pPr>
      <w:r w:rsidRPr="00BD2206">
        <w:t xml:space="preserve">The REP will be allowed to hold back an allowance for charge-offs in its payments to the servicer.  Such charge-off rate will be recalculated each year in connection with the annual true-up procedure.  In the initial year, REPs will be allowed to remit payments based on the same charge-off percentage then being used by the REP to remit payments to the servicer </w:t>
      </w:r>
      <w:r w:rsidR="00154E6C" w:rsidRPr="00BD2206">
        <w:t>in connection with transition charges related to transition bonds issued by AEP Texas Central Transition Funding III, LLC, in March 2012 pursuant to the financing order in Docket No. 39931</w:t>
      </w:r>
      <w:r w:rsidRPr="00BD2206">
        <w:t>.  On an annual basis in connection with the true-up process, the REP and the servicer will be responsible for reconciling the amounts held back with amounts actually written off as uncollectible in accordance with the terms agreed to by the REP and the servicer, provided that:</w:t>
      </w:r>
    </w:p>
    <w:p w14:paraId="6A925540" w14:textId="77777777" w:rsidR="003631D6" w:rsidRPr="00BD2206" w:rsidRDefault="003631D6" w:rsidP="005B35DB">
      <w:pPr>
        <w:pStyle w:val="BodyText"/>
        <w:ind w:left="1440" w:hanging="540"/>
      </w:pPr>
      <w:bookmarkStart w:id="610" w:name="_Toc83703785"/>
      <w:bookmarkStart w:id="611" w:name="_Toc83704118"/>
      <w:r w:rsidRPr="00BD2206">
        <w:t>(1)</w:t>
      </w:r>
      <w:r w:rsidRPr="00BD2206">
        <w:tab/>
        <w:t>The REP’s right to reconciliation for write-offs will be limited to customers whose service has been permanently terminated and whose entire accounts (</w:t>
      </w:r>
      <w:r w:rsidRPr="00BD2206">
        <w:rPr>
          <w:i/>
        </w:rPr>
        <w:t>i.e.</w:t>
      </w:r>
      <w:r w:rsidRPr="00BD2206">
        <w:t xml:space="preserve">, all amounts due the REP for its own account as well as the portion representing </w:t>
      </w:r>
      <w:r w:rsidR="00A56180" w:rsidRPr="00BD2206">
        <w:t xml:space="preserve">system restoration </w:t>
      </w:r>
      <w:r w:rsidRPr="00BD2206">
        <w:t>charges) have been written off.</w:t>
      </w:r>
      <w:bookmarkEnd w:id="610"/>
      <w:bookmarkEnd w:id="611"/>
    </w:p>
    <w:p w14:paraId="0ADD6B6B" w14:textId="77777777" w:rsidR="003631D6" w:rsidRPr="00BD2206" w:rsidRDefault="003631D6" w:rsidP="005B35DB">
      <w:pPr>
        <w:pStyle w:val="BodyText"/>
        <w:ind w:left="1440" w:hanging="540"/>
      </w:pPr>
      <w:bookmarkStart w:id="612" w:name="_Toc83703786"/>
      <w:bookmarkStart w:id="613" w:name="_Toc83704119"/>
      <w:r w:rsidRPr="00BD2206">
        <w:t>(2)</w:t>
      </w:r>
      <w:r w:rsidRPr="00BD2206">
        <w:tab/>
        <w:t xml:space="preserve">The REP’s recourse will be limited to a credit against future </w:t>
      </w:r>
      <w:r w:rsidR="00154E6C" w:rsidRPr="00BD2206">
        <w:t xml:space="preserve">system restoration </w:t>
      </w:r>
      <w:r w:rsidRPr="00BD2206">
        <w:t xml:space="preserve">charge payments unless the REP and the servicer agree to alternative arrangements, but in no event will the REP have recourse to the indenture trustee, </w:t>
      </w:r>
      <w:proofErr w:type="spellStart"/>
      <w:r w:rsidRPr="00BD2206">
        <w:t>BondCo</w:t>
      </w:r>
      <w:proofErr w:type="spellEnd"/>
      <w:r w:rsidRPr="00BD2206">
        <w:t xml:space="preserve">, or </w:t>
      </w:r>
      <w:proofErr w:type="spellStart"/>
      <w:r w:rsidRPr="00BD2206">
        <w:t>BondCo’s</w:t>
      </w:r>
      <w:proofErr w:type="spellEnd"/>
      <w:r w:rsidRPr="00BD2206">
        <w:t xml:space="preserve"> funds for such payments.</w:t>
      </w:r>
      <w:bookmarkEnd w:id="612"/>
      <w:bookmarkEnd w:id="613"/>
    </w:p>
    <w:p w14:paraId="6B6EA250" w14:textId="64EE0A8D" w:rsidR="003631D6" w:rsidRPr="00BD2206" w:rsidRDefault="003631D6" w:rsidP="005B35DB">
      <w:pPr>
        <w:pStyle w:val="BodyText"/>
        <w:ind w:left="1440" w:hanging="540"/>
      </w:pPr>
      <w:r w:rsidRPr="00BD2206">
        <w:t>(3)</w:t>
      </w:r>
      <w:bookmarkStart w:id="614" w:name="_Toc83703787"/>
      <w:bookmarkStart w:id="615" w:name="_Toc83704120"/>
      <w:r w:rsidRPr="00BD2206">
        <w:tab/>
        <w:t xml:space="preserve">The REP shall provide information on a timely basis to the servicer so that the servicer can include the REP’s default experience and any subsequent credits into its calculation of the adjusted </w:t>
      </w:r>
      <w:r w:rsidR="00DD7CDB" w:rsidRPr="00BD2206">
        <w:t>system restoration charge</w:t>
      </w:r>
      <w:r w:rsidRPr="00BD2206">
        <w:t xml:space="preserve"> rates for the next </w:t>
      </w:r>
      <w:r w:rsidR="00154E6C" w:rsidRPr="00BD2206">
        <w:t>system restoration</w:t>
      </w:r>
      <w:r w:rsidRPr="00BD2206">
        <w:t xml:space="preserve">-charge billing period and the REP’s rights to credits will not take effect until after such adjusted </w:t>
      </w:r>
      <w:r w:rsidR="00154E6C" w:rsidRPr="00BD2206">
        <w:t>system restoration</w:t>
      </w:r>
      <w:r w:rsidRPr="00BD2206">
        <w:t>-charge rates have been implemented.</w:t>
      </w:r>
      <w:bookmarkEnd w:id="614"/>
      <w:bookmarkEnd w:id="615"/>
    </w:p>
    <w:p w14:paraId="0E55CAFB" w14:textId="77777777" w:rsidR="003631D6" w:rsidRPr="00BD2206" w:rsidRDefault="003631D6" w:rsidP="00C766B6">
      <w:pPr>
        <w:pStyle w:val="Heading4"/>
        <w:ind w:left="720"/>
        <w:rPr>
          <w:bCs/>
        </w:rPr>
      </w:pPr>
      <w:r w:rsidRPr="00BD2206">
        <w:rPr>
          <w:bCs/>
        </w:rPr>
        <w:t>Service Termination.</w:t>
      </w:r>
    </w:p>
    <w:p w14:paraId="0C58B2AA" w14:textId="7D1DB567" w:rsidR="003631D6" w:rsidRPr="00BD2206" w:rsidRDefault="003631D6" w:rsidP="003631D6">
      <w:pPr>
        <w:pStyle w:val="BodyText"/>
        <w:ind w:left="720"/>
      </w:pPr>
      <w:r w:rsidRPr="00BD2206">
        <w:t xml:space="preserve">In the event that the servicer is billing </w:t>
      </w:r>
      <w:r w:rsidR="00824E79" w:rsidRPr="00BD2206">
        <w:t xml:space="preserve">retail customers </w:t>
      </w:r>
      <w:r w:rsidRPr="00BD2206">
        <w:t xml:space="preserve">for </w:t>
      </w:r>
      <w:r w:rsidR="00681055" w:rsidRPr="00BD2206">
        <w:t xml:space="preserve">system restoration </w:t>
      </w:r>
      <w:r w:rsidRPr="00BD2206">
        <w:t xml:space="preserve">charges, the servicer shall have the right to terminate transmission and distribution service to the end-use </w:t>
      </w:r>
      <w:r w:rsidR="004B10F4" w:rsidRPr="00BD2206">
        <w:t>customer</w:t>
      </w:r>
      <w:r w:rsidRPr="00BD2206">
        <w:t xml:space="preserve"> for non-payment by the end-use </w:t>
      </w:r>
      <w:r w:rsidR="004B10F4" w:rsidRPr="00BD2206">
        <w:t>customer</w:t>
      </w:r>
      <w:r w:rsidRPr="00BD2206">
        <w:t xml:space="preserve"> pursuant to applicable Commission rules.  In the event that a REP or the POLR is billing </w:t>
      </w:r>
      <w:r w:rsidR="00824E79" w:rsidRPr="00BD2206">
        <w:t xml:space="preserve">retail customers </w:t>
      </w:r>
      <w:r w:rsidRPr="00BD2206">
        <w:t xml:space="preserve">for </w:t>
      </w:r>
      <w:r w:rsidR="00681055" w:rsidRPr="00BD2206">
        <w:t xml:space="preserve">system restoration </w:t>
      </w:r>
      <w:r w:rsidRPr="00BD2206">
        <w:t xml:space="preserve">charges, the REP or POLR shall have the right to transfer the customer to the POLR (or to another certified REP) or to direct the servicer to terminate transmission and distribution service to the end-use </w:t>
      </w:r>
      <w:r w:rsidR="004B10F4" w:rsidRPr="00BD2206">
        <w:t>customer</w:t>
      </w:r>
      <w:r w:rsidRPr="00BD2206">
        <w:t xml:space="preserve"> for non-payment in accordance with the applicable Commission rules.</w:t>
      </w:r>
    </w:p>
    <w:p w14:paraId="41CACF11" w14:textId="2959CB8E" w:rsidR="003631D6" w:rsidRPr="00BD2206" w:rsidRDefault="003631D6" w:rsidP="003631D6">
      <w:pPr>
        <w:pStyle w:val="FOFNumbered"/>
      </w:pPr>
      <w:r w:rsidRPr="00BD2206">
        <w:t>The proposed billing and collection standards for REPs are the same as those adopted in Docket Nos. 32475</w:t>
      </w:r>
      <w:r w:rsidR="00681055" w:rsidRPr="00BD2206">
        <w:t xml:space="preserve"> and 39931</w:t>
      </w:r>
      <w:r w:rsidRPr="00BD2206">
        <w:t xml:space="preserve"> </w:t>
      </w:r>
      <w:r w:rsidR="00681055" w:rsidRPr="00BD2206">
        <w:t xml:space="preserve">and </w:t>
      </w:r>
      <w:r w:rsidRPr="00BD2206">
        <w:t xml:space="preserve">currently applied by </w:t>
      </w:r>
      <w:r w:rsidR="00DA6854" w:rsidRPr="00BD2206">
        <w:t>AEP Texas</w:t>
      </w:r>
      <w:r w:rsidRPr="00BD2206">
        <w:t xml:space="preserve"> in its capacity as servicer under the transition bonds issued pursuant to the financing orders in those dockets.</w:t>
      </w:r>
      <w:bookmarkStart w:id="616" w:name="_Toc83701912"/>
      <w:bookmarkStart w:id="617" w:name="_Toc83703789"/>
    </w:p>
    <w:p w14:paraId="1C769891" w14:textId="3C82110B" w:rsidR="003631D6" w:rsidRPr="00BD2206" w:rsidRDefault="003631D6" w:rsidP="003631D6">
      <w:pPr>
        <w:pStyle w:val="FOFNumbered"/>
      </w:pPr>
      <w:r w:rsidRPr="00BD2206">
        <w:t xml:space="preserve">The proposed billing and collection standards for REPs and the applicability of those standards are appropriate for the collection of </w:t>
      </w:r>
      <w:r w:rsidR="00681055" w:rsidRPr="00BD2206">
        <w:t xml:space="preserve">system restoration </w:t>
      </w:r>
      <w:r w:rsidRPr="00BD2206">
        <w:t>charges resulting from this Financing Order, are reasonable</w:t>
      </w:r>
      <w:r w:rsidR="00DD78C3" w:rsidRPr="00BD2206">
        <w:t xml:space="preserve">, </w:t>
      </w:r>
      <w:r w:rsidRPr="00BD2206">
        <w:t xml:space="preserve">will lower risks associated with the collection of </w:t>
      </w:r>
      <w:r w:rsidR="00681055" w:rsidRPr="00BD2206">
        <w:t xml:space="preserve">system restoration </w:t>
      </w:r>
      <w:r w:rsidRPr="00BD2206">
        <w:t xml:space="preserve">charges and will result in lower </w:t>
      </w:r>
      <w:r w:rsidR="00681055" w:rsidRPr="00BD2206">
        <w:t xml:space="preserve">system restoration </w:t>
      </w:r>
      <w:r w:rsidRPr="00BD2206">
        <w:t xml:space="preserve">bond charges and greater benefits to </w:t>
      </w:r>
      <w:r w:rsidR="00824E79" w:rsidRPr="00BD2206">
        <w:t>ratepayers</w:t>
      </w:r>
      <w:r w:rsidRPr="00BD2206">
        <w:t xml:space="preserve">.  In addition, adoption of these standards will provide uniformity of standards for the billing and collection of </w:t>
      </w:r>
      <w:r w:rsidR="00681055" w:rsidRPr="00BD2206">
        <w:t xml:space="preserve">system restoration </w:t>
      </w:r>
      <w:r w:rsidRPr="00BD2206">
        <w:t xml:space="preserve">charges for which </w:t>
      </w:r>
      <w:r w:rsidR="00DA6854" w:rsidRPr="00BD2206">
        <w:t>AEP Texas</w:t>
      </w:r>
      <w:r w:rsidRPr="00BD2206">
        <w:t xml:space="preserve"> acts as servicer.  Therefore, the proposed billing and collection standards for REPs and the applicability of those standards described in Finding</w:t>
      </w:r>
      <w:r w:rsidR="002372C7" w:rsidRPr="00BD2206">
        <w:t>s</w:t>
      </w:r>
      <w:r w:rsidRPr="00BD2206">
        <w:t xml:space="preserve"> of Fact Nos. </w:t>
      </w:r>
      <w:r w:rsidR="00B27F0B" w:rsidRPr="00BD2206">
        <w:t>5</w:t>
      </w:r>
      <w:r w:rsidR="00B8682A" w:rsidRPr="00BD2206">
        <w:t>2</w:t>
      </w:r>
      <w:r w:rsidR="00B27F0B" w:rsidRPr="00BD2206">
        <w:t xml:space="preserve"> </w:t>
      </w:r>
      <w:r w:rsidRPr="00BD2206">
        <w:t xml:space="preserve">and </w:t>
      </w:r>
      <w:r w:rsidR="00681055" w:rsidRPr="00BD2206">
        <w:t>5</w:t>
      </w:r>
      <w:r w:rsidR="00B8682A" w:rsidRPr="00BD2206">
        <w:t>3</w:t>
      </w:r>
      <w:r w:rsidRPr="00BD2206">
        <w:t xml:space="preserve"> should be approved.</w:t>
      </w:r>
      <w:bookmarkEnd w:id="616"/>
      <w:bookmarkEnd w:id="617"/>
    </w:p>
    <w:p w14:paraId="0CC7C0E8" w14:textId="77777777" w:rsidR="003631D6" w:rsidRPr="00BD2206" w:rsidRDefault="005320B3" w:rsidP="00C766B6">
      <w:pPr>
        <w:pStyle w:val="Heading3"/>
      </w:pPr>
      <w:bookmarkStart w:id="618" w:name="_Toc88378146"/>
      <w:bookmarkStart w:id="619" w:name="_Toc88379118"/>
      <w:bookmarkStart w:id="620" w:name="_Toc88379340"/>
      <w:bookmarkStart w:id="621" w:name="_Toc88379560"/>
      <w:bookmarkStart w:id="622" w:name="_Toc88379778"/>
      <w:bookmarkStart w:id="623" w:name="_Toc88379966"/>
      <w:bookmarkStart w:id="624" w:name="_Toc88380149"/>
      <w:bookmarkStart w:id="625" w:name="_Toc88380279"/>
      <w:bookmarkStart w:id="626" w:name="_Toc88380436"/>
      <w:bookmarkStart w:id="627" w:name="_Toc88380528"/>
      <w:bookmarkStart w:id="628" w:name="_Toc88380620"/>
      <w:bookmarkStart w:id="629" w:name="_Toc97535671"/>
      <w:bookmarkStart w:id="630" w:name="_Toc158028401"/>
      <w:bookmarkStart w:id="631" w:name="_Toc177539452"/>
      <w:bookmarkStart w:id="632" w:name="_Toc2778505"/>
      <w:r w:rsidRPr="00BD2206">
        <w:t xml:space="preserve">System Restoration </w:t>
      </w:r>
      <w:r w:rsidR="003631D6" w:rsidRPr="00BD2206">
        <w:t>Bonds</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664029AB" w14:textId="77777777" w:rsidR="003631D6" w:rsidRPr="00BD2206" w:rsidRDefault="003631D6" w:rsidP="003631D6">
      <w:pPr>
        <w:pStyle w:val="FOFNumbered"/>
      </w:pPr>
      <w:bookmarkStart w:id="633" w:name="_Toc83701914"/>
      <w:bookmarkStart w:id="634" w:name="_Toc83703792"/>
      <w:proofErr w:type="spellStart"/>
      <w:r w:rsidRPr="00BD2206">
        <w:t>BondCo</w:t>
      </w:r>
      <w:proofErr w:type="spellEnd"/>
      <w:r w:rsidRPr="00BD2206">
        <w:t xml:space="preserve"> will issue and sell </w:t>
      </w:r>
      <w:r w:rsidR="005320B3" w:rsidRPr="00BD2206">
        <w:t xml:space="preserve">system restoration </w:t>
      </w:r>
      <w:r w:rsidRPr="00BD2206">
        <w:t xml:space="preserve">bonds in one series consisting of one or more tranches.  The legal final maturity date of any series of </w:t>
      </w:r>
      <w:r w:rsidR="005320B3" w:rsidRPr="00BD2206">
        <w:t xml:space="preserve">system restoration </w:t>
      </w:r>
      <w:r w:rsidRPr="00BD2206">
        <w:t xml:space="preserve">bonds will not exceed 15 years from the date of issuance of such series.  The legal final maturity date of each series and tranche within a series and amounts in each series will be finally determined by </w:t>
      </w:r>
      <w:r w:rsidR="00DA6854" w:rsidRPr="00BD2206">
        <w:t>AEP Texas</w:t>
      </w:r>
      <w:r w:rsidRPr="00BD2206">
        <w:t xml:space="preserve"> and the Commission’s designated representative, consistent with market conditions and indications of the rating agencies, at the time the </w:t>
      </w:r>
      <w:r w:rsidR="005320B3" w:rsidRPr="00BD2206">
        <w:t xml:space="preserve">system restoration </w:t>
      </w:r>
      <w:r w:rsidRPr="00BD2206">
        <w:t xml:space="preserve">bonds are priced, but subject to ultimate Commission review through the issuance advice letter process.  </w:t>
      </w:r>
      <w:r w:rsidR="00DA6854" w:rsidRPr="00BD2206">
        <w:t>AEP Texas</w:t>
      </w:r>
      <w:r w:rsidRPr="00BD2206">
        <w:t xml:space="preserve"> will retain sole discretion regarding whether or when to assign, sell, or otherwise transfer any rights concerning transition property arising under this Financing Order, or to cause the issuance of any </w:t>
      </w:r>
      <w:r w:rsidR="005320B3" w:rsidRPr="00BD2206">
        <w:t xml:space="preserve">system restoration </w:t>
      </w:r>
      <w:r w:rsidRPr="00BD2206">
        <w:t xml:space="preserve">bonds authorized in this Financing Order, subject to the right of the Commission to find that the proposed issuance does not comply with the requirements of PURA and this Financing Order.  </w:t>
      </w:r>
      <w:proofErr w:type="spellStart"/>
      <w:r w:rsidRPr="00BD2206">
        <w:t>BondCo</w:t>
      </w:r>
      <w:proofErr w:type="spellEnd"/>
      <w:r w:rsidRPr="00BD2206">
        <w:t xml:space="preserve"> will issue the </w:t>
      </w:r>
      <w:r w:rsidR="005320B3" w:rsidRPr="00BD2206">
        <w:t xml:space="preserve">system restoration </w:t>
      </w:r>
      <w:r w:rsidRPr="00BD2206">
        <w:t xml:space="preserve">bonds on or after the fifth business day after pricing of the </w:t>
      </w:r>
      <w:r w:rsidR="005320B3" w:rsidRPr="00BD2206">
        <w:t xml:space="preserve">system restoration </w:t>
      </w:r>
      <w:r w:rsidRPr="00BD2206">
        <w:t>bonds unless, prior to noon on the fourth business day following pricing of the bonds, the Commission issues an order finding that the proposed issuance does not comply with the requirements of PURA and this Financing Order.</w:t>
      </w:r>
      <w:bookmarkStart w:id="635" w:name="_Toc83701916"/>
      <w:bookmarkStart w:id="636" w:name="_Toc83703794"/>
      <w:bookmarkEnd w:id="633"/>
      <w:bookmarkEnd w:id="634"/>
    </w:p>
    <w:p w14:paraId="468B7776" w14:textId="6F783C24" w:rsidR="003631D6" w:rsidRPr="00BD2206" w:rsidRDefault="003631D6" w:rsidP="003631D6">
      <w:pPr>
        <w:pStyle w:val="FOFNumbered"/>
      </w:pPr>
      <w:bookmarkStart w:id="637" w:name="_Ref138485258"/>
      <w:r w:rsidRPr="00BD2206">
        <w:t xml:space="preserve">The Commission finds that the proposed structure—providing for substantially </w:t>
      </w:r>
      <w:proofErr w:type="spellStart"/>
      <w:r w:rsidRPr="00BD2206">
        <w:t>levelized</w:t>
      </w:r>
      <w:proofErr w:type="spellEnd"/>
      <w:r w:rsidRPr="00BD2206">
        <w:t xml:space="preserve"> annual revenue requirements over the expected life of the </w:t>
      </w:r>
      <w:r w:rsidR="005320B3" w:rsidRPr="00BD2206">
        <w:t xml:space="preserve">system restoration </w:t>
      </w:r>
      <w:r w:rsidRPr="00BD2206">
        <w:t xml:space="preserve">bonds—is in the public interest and should be used.  This structure offers the benefit of not relying upon customer growth and will allow the resulting </w:t>
      </w:r>
      <w:r w:rsidR="005320B3" w:rsidRPr="00BD2206">
        <w:t xml:space="preserve">system restoration </w:t>
      </w:r>
      <w:r w:rsidRPr="00BD2206">
        <w:t xml:space="preserve">charges to remain level or decline over time, if billing determinants remain level or grow.  The approved structure is reasonable and should be approved, provided that the issuance advice letter demonstrates that all of the statutory financial requirements are met.  This restriction is necessary to ensure that the stated economic benefits to </w:t>
      </w:r>
      <w:r w:rsidR="00824E79" w:rsidRPr="00BD2206">
        <w:t xml:space="preserve">ratepayers </w:t>
      </w:r>
      <w:r w:rsidRPr="00BD2206">
        <w:t>materialize</w:t>
      </w:r>
      <w:bookmarkEnd w:id="635"/>
      <w:bookmarkEnd w:id="636"/>
      <w:r w:rsidRPr="00BD2206">
        <w:t>.</w:t>
      </w:r>
      <w:bookmarkStart w:id="638" w:name="_Toc88378147"/>
      <w:bookmarkStart w:id="639" w:name="_Toc88379119"/>
      <w:bookmarkStart w:id="640" w:name="_Toc88379341"/>
      <w:bookmarkStart w:id="641" w:name="_Toc88379561"/>
      <w:bookmarkStart w:id="642" w:name="_Toc88379779"/>
      <w:bookmarkStart w:id="643" w:name="_Toc88379967"/>
      <w:bookmarkStart w:id="644" w:name="_Toc88380150"/>
      <w:bookmarkStart w:id="645" w:name="_Toc88380280"/>
      <w:bookmarkStart w:id="646" w:name="_Toc88380437"/>
      <w:bookmarkStart w:id="647" w:name="_Toc88380529"/>
      <w:bookmarkStart w:id="648" w:name="_Toc88380621"/>
      <w:bookmarkEnd w:id="637"/>
    </w:p>
    <w:p w14:paraId="6F72CABF" w14:textId="77777777" w:rsidR="003631D6" w:rsidRPr="00BD2206" w:rsidRDefault="003631D6" w:rsidP="00C766B6">
      <w:pPr>
        <w:pStyle w:val="Heading3"/>
      </w:pPr>
      <w:bookmarkStart w:id="649" w:name="_Toc97535672"/>
      <w:bookmarkStart w:id="650" w:name="_Toc158028402"/>
      <w:bookmarkStart w:id="651" w:name="_Toc177539453"/>
      <w:bookmarkStart w:id="652" w:name="_Toc2778506"/>
      <w:r w:rsidRPr="00BD2206">
        <w:t xml:space="preserve">Security for </w:t>
      </w:r>
      <w:r w:rsidR="00EF3FC6" w:rsidRPr="00BD2206">
        <w:t>System R</w:t>
      </w:r>
      <w:r w:rsidR="005320B3" w:rsidRPr="00BD2206">
        <w:t xml:space="preserve">estoration </w:t>
      </w:r>
      <w:r w:rsidRPr="00BD2206">
        <w:t>Bonds</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21D8FC45" w14:textId="77777777" w:rsidR="003631D6" w:rsidRPr="00BD2206" w:rsidRDefault="003631D6" w:rsidP="003631D6">
      <w:pPr>
        <w:pStyle w:val="FOFNumbered"/>
      </w:pPr>
      <w:bookmarkStart w:id="653" w:name="_Toc83701917"/>
      <w:bookmarkStart w:id="654" w:name="_Toc83703796"/>
      <w:bookmarkStart w:id="655" w:name="_Ref138485465"/>
      <w:r w:rsidRPr="00BD2206">
        <w:t xml:space="preserve">The payment of the </w:t>
      </w:r>
      <w:r w:rsidR="00EF3FC6" w:rsidRPr="00BD2206">
        <w:t xml:space="preserve">system restoration </w:t>
      </w:r>
      <w:r w:rsidRPr="00BD2206">
        <w:t xml:space="preserve">bonds and related charges authorized by this Financing Order is to be secured by the transition property created by this Financing Order and by certain other collateral as described in the application.  Each series of the </w:t>
      </w:r>
      <w:r w:rsidR="00EF3FC6" w:rsidRPr="00BD2206">
        <w:t xml:space="preserve">system restoration </w:t>
      </w:r>
      <w:r w:rsidRPr="00BD2206">
        <w:t>bonds will be issued pursuant to an indenture administered by the indenture trustee (any such indenture, “the indenture,” and the trustee under an indenture, “the indenture trustee”).</w:t>
      </w:r>
      <w:bookmarkStart w:id="656" w:name="_Toc462641847"/>
      <w:r w:rsidRPr="00BD2206">
        <w:t xml:space="preserve">  The indenture will include provisions for a collection account for the series and subaccounts for the collection and administration of the </w:t>
      </w:r>
      <w:r w:rsidR="00EF3FC6" w:rsidRPr="00BD2206">
        <w:t xml:space="preserve">system restoration </w:t>
      </w:r>
      <w:r w:rsidRPr="00BD2206">
        <w:t xml:space="preserve">charges and payment or funding of the principal and interest on the </w:t>
      </w:r>
      <w:r w:rsidR="00EF3FC6" w:rsidRPr="00BD2206">
        <w:t xml:space="preserve">system restoration </w:t>
      </w:r>
      <w:r w:rsidRPr="00BD2206">
        <w:t xml:space="preserve">bonds and other costs, including fees and expenses, in connection with the </w:t>
      </w:r>
      <w:r w:rsidR="00EF3FC6" w:rsidRPr="00BD2206">
        <w:t xml:space="preserve">system restoration </w:t>
      </w:r>
      <w:r w:rsidRPr="00BD2206">
        <w:t xml:space="preserve">bonds, as described in </w:t>
      </w:r>
      <w:r w:rsidR="00DA6854" w:rsidRPr="00BD2206">
        <w:t>AEP Texas</w:t>
      </w:r>
      <w:r w:rsidR="00EF3FC6" w:rsidRPr="00BD2206">
        <w:t>’</w:t>
      </w:r>
      <w:r w:rsidRPr="00BD2206">
        <w:t xml:space="preserve"> application.</w:t>
      </w:r>
      <w:bookmarkEnd w:id="656"/>
      <w:r w:rsidRPr="00BD2206">
        <w:t xml:space="preserve">  Pursuant to the indenture, </w:t>
      </w:r>
      <w:proofErr w:type="spellStart"/>
      <w:r w:rsidRPr="00BD2206">
        <w:t>BondCo</w:t>
      </w:r>
      <w:proofErr w:type="spellEnd"/>
      <w:r w:rsidRPr="00BD2206">
        <w:t xml:space="preserve"> will establish a collection account as a trust account to be held by the indenture trustee as collateral to ensure the payment of the principal, interest, and other costs approved in this Financing Order related to the </w:t>
      </w:r>
      <w:r w:rsidR="00EF3FC6" w:rsidRPr="00BD2206">
        <w:t xml:space="preserve">system restoration </w:t>
      </w:r>
      <w:r w:rsidRPr="00BD2206">
        <w:t>bonds in full and on a timely basis.  The collection account will include the general subaccount, the capital subaccount, and the excess funds subaccount, and may include other subaccounts.</w:t>
      </w:r>
      <w:bookmarkEnd w:id="653"/>
      <w:bookmarkEnd w:id="654"/>
      <w:bookmarkEnd w:id="655"/>
    </w:p>
    <w:p w14:paraId="1C52B8B6" w14:textId="77777777" w:rsidR="003631D6" w:rsidRPr="00BD2206" w:rsidRDefault="003631D6" w:rsidP="003631D6">
      <w:pPr>
        <w:pStyle w:val="Heading4"/>
        <w:ind w:left="720"/>
      </w:pPr>
      <w:bookmarkStart w:id="657" w:name="_Toc88378148"/>
      <w:bookmarkStart w:id="658" w:name="_Toc88379120"/>
      <w:bookmarkStart w:id="659" w:name="_Toc88379342"/>
      <w:bookmarkStart w:id="660" w:name="_Toc88379562"/>
      <w:bookmarkStart w:id="661" w:name="_Toc88379780"/>
      <w:bookmarkStart w:id="662" w:name="_Toc88379968"/>
      <w:bookmarkStart w:id="663" w:name="_Toc88380438"/>
      <w:bookmarkStart w:id="664" w:name="_Toc88380530"/>
      <w:bookmarkStart w:id="665" w:name="_Toc88380622"/>
      <w:bookmarkStart w:id="666" w:name="_Toc158028403"/>
      <w:bookmarkStart w:id="667" w:name="_Toc177539454"/>
      <w:r w:rsidRPr="00BD2206">
        <w:t>The General Subaccount</w:t>
      </w:r>
      <w:bookmarkEnd w:id="657"/>
      <w:bookmarkEnd w:id="658"/>
      <w:bookmarkEnd w:id="659"/>
      <w:bookmarkEnd w:id="660"/>
      <w:bookmarkEnd w:id="661"/>
      <w:bookmarkEnd w:id="662"/>
      <w:bookmarkEnd w:id="663"/>
      <w:bookmarkEnd w:id="664"/>
      <w:bookmarkEnd w:id="665"/>
      <w:bookmarkEnd w:id="666"/>
      <w:bookmarkEnd w:id="667"/>
    </w:p>
    <w:p w14:paraId="2C84E932" w14:textId="0582DB57" w:rsidR="003631D6" w:rsidRPr="00BD2206" w:rsidRDefault="003631D6" w:rsidP="003631D6">
      <w:pPr>
        <w:pStyle w:val="FOFNumbered"/>
        <w:tabs>
          <w:tab w:val="left" w:pos="720"/>
        </w:tabs>
      </w:pPr>
      <w:bookmarkStart w:id="668" w:name="_Toc83701918"/>
      <w:bookmarkStart w:id="669" w:name="_Toc83703798"/>
      <w:r w:rsidRPr="00BD2206">
        <w:t xml:space="preserve">The indenture trustee will deposit the </w:t>
      </w:r>
      <w:r w:rsidR="00CB16CA" w:rsidRPr="00BD2206">
        <w:t xml:space="preserve">system restoration </w:t>
      </w:r>
      <w:r w:rsidRPr="00BD2206">
        <w:t xml:space="preserve">charge remittances that the servicer remits to the indenture trustee for the account of </w:t>
      </w:r>
      <w:proofErr w:type="spellStart"/>
      <w:r w:rsidRPr="00BD2206">
        <w:t>BondCo</w:t>
      </w:r>
      <w:proofErr w:type="spellEnd"/>
      <w:r w:rsidRPr="00BD2206">
        <w:t xml:space="preserve"> into one or more segregated trust accounts and allocate the amount of those remittances to the general subaccount.  The indenture trustee will on a periodic basis apply moneys in this subaccount to pay expenses of </w:t>
      </w:r>
      <w:proofErr w:type="spellStart"/>
      <w:r w:rsidRPr="00BD2206">
        <w:t>BondCo</w:t>
      </w:r>
      <w:proofErr w:type="spellEnd"/>
      <w:r w:rsidRPr="00BD2206">
        <w:t xml:space="preserve">, to pay principal and interest on the </w:t>
      </w:r>
      <w:r w:rsidR="00CB16CA" w:rsidRPr="00BD2206">
        <w:t xml:space="preserve">system restoration </w:t>
      </w:r>
      <w:r w:rsidRPr="00BD2206">
        <w:t xml:space="preserve">bonds, and to meet the funding requirements of the other subaccounts.  The funds in the general subaccount will be invested by the indenture trustee in short-term high-quality investments, and such funds (including, to the extent necessary, investment earnings) will be applied by the indenture trustee to pay principal and interest on the </w:t>
      </w:r>
      <w:r w:rsidR="00CB16CA" w:rsidRPr="00BD2206">
        <w:t xml:space="preserve">system restoration </w:t>
      </w:r>
      <w:r w:rsidRPr="00BD2206">
        <w:t>bonds and all other components of the Periodic Payment Requirement (</w:t>
      </w:r>
      <w:r w:rsidR="00B76D44" w:rsidRPr="00BD2206">
        <w:t>“</w:t>
      </w:r>
      <w:r w:rsidRPr="00BD2206">
        <w:t>PPR</w:t>
      </w:r>
      <w:r w:rsidR="00B76D44" w:rsidRPr="00BD2206">
        <w:t>”</w:t>
      </w:r>
      <w:r w:rsidRPr="00BD2206">
        <w:t>) (as defined in Finding of Fact No. 7</w:t>
      </w:r>
      <w:r w:rsidR="00B8682A" w:rsidRPr="00BD2206">
        <w:t>4</w:t>
      </w:r>
      <w:r w:rsidRPr="00BD2206">
        <w:t>), and otherwise in accordance with the terms of the indenture.</w:t>
      </w:r>
      <w:bookmarkEnd w:id="668"/>
      <w:bookmarkEnd w:id="669"/>
    </w:p>
    <w:p w14:paraId="01F2FD28" w14:textId="77777777" w:rsidR="003631D6" w:rsidRPr="00BD2206" w:rsidRDefault="003631D6" w:rsidP="003631D6">
      <w:pPr>
        <w:pStyle w:val="Heading4"/>
        <w:ind w:left="720"/>
      </w:pPr>
      <w:bookmarkStart w:id="670" w:name="_Toc88378150"/>
      <w:bookmarkStart w:id="671" w:name="_Toc88379122"/>
      <w:bookmarkStart w:id="672" w:name="_Toc88379344"/>
      <w:bookmarkStart w:id="673" w:name="_Toc88379564"/>
      <w:bookmarkStart w:id="674" w:name="_Toc88379782"/>
      <w:bookmarkStart w:id="675" w:name="_Toc88379970"/>
      <w:bookmarkStart w:id="676" w:name="_Toc88380440"/>
      <w:bookmarkStart w:id="677" w:name="_Toc88380532"/>
      <w:bookmarkStart w:id="678" w:name="_Toc88380624"/>
      <w:bookmarkStart w:id="679" w:name="_Toc158028405"/>
      <w:bookmarkStart w:id="680" w:name="_Toc177539455"/>
      <w:r w:rsidRPr="00BD2206">
        <w:t>The Capital Subaccount</w:t>
      </w:r>
      <w:bookmarkEnd w:id="670"/>
      <w:bookmarkEnd w:id="671"/>
      <w:bookmarkEnd w:id="672"/>
      <w:bookmarkEnd w:id="673"/>
      <w:bookmarkEnd w:id="674"/>
      <w:bookmarkEnd w:id="675"/>
      <w:bookmarkEnd w:id="676"/>
      <w:bookmarkEnd w:id="677"/>
      <w:bookmarkEnd w:id="678"/>
      <w:bookmarkEnd w:id="679"/>
      <w:bookmarkEnd w:id="680"/>
    </w:p>
    <w:p w14:paraId="61E6A0C6" w14:textId="44B34D56" w:rsidR="003631D6" w:rsidRPr="00BD2206" w:rsidRDefault="003631D6" w:rsidP="003631D6">
      <w:pPr>
        <w:pStyle w:val="FOFNumbered"/>
      </w:pPr>
      <w:bookmarkStart w:id="681" w:name="_Toc83701920"/>
      <w:bookmarkStart w:id="682" w:name="_Toc83703802"/>
      <w:r w:rsidRPr="00BD2206">
        <w:t xml:space="preserve">When a series of </w:t>
      </w:r>
      <w:r w:rsidR="00CB16CA" w:rsidRPr="00BD2206">
        <w:t xml:space="preserve">system restoration </w:t>
      </w:r>
      <w:r w:rsidRPr="00BD2206">
        <w:t xml:space="preserve">bonds is issued, </w:t>
      </w:r>
      <w:r w:rsidR="00DA6854" w:rsidRPr="00BD2206">
        <w:t>AEP Texas</w:t>
      </w:r>
      <w:r w:rsidRPr="00BD2206">
        <w:t xml:space="preserve"> will make a capital contribution to </w:t>
      </w:r>
      <w:proofErr w:type="spellStart"/>
      <w:r w:rsidRPr="00BD2206">
        <w:t>BondCo</w:t>
      </w:r>
      <w:proofErr w:type="spellEnd"/>
      <w:r w:rsidRPr="00BD2206">
        <w:t xml:space="preserve"> for that series, which </w:t>
      </w:r>
      <w:proofErr w:type="spellStart"/>
      <w:r w:rsidRPr="00BD2206">
        <w:t>BondCo</w:t>
      </w:r>
      <w:proofErr w:type="spellEnd"/>
      <w:r w:rsidRPr="00BD2206">
        <w:t xml:space="preserve"> will deposit into the capital subaccount.  The amount of the capital contribution is expected to be not less than 0.5% of the original principal amount of each series of </w:t>
      </w:r>
      <w:r w:rsidR="00CB16CA" w:rsidRPr="00BD2206">
        <w:t xml:space="preserve">system restoration </w:t>
      </w:r>
      <w:r w:rsidRPr="00BD2206">
        <w:t xml:space="preserve">bonds, although the actual amount will depend on tax and rating agency requirements.  The capital subaccount will serve as collateral to ensure timely payment of principal and interest on the </w:t>
      </w:r>
      <w:r w:rsidR="00CB16CA" w:rsidRPr="00BD2206">
        <w:t xml:space="preserve">system restoration </w:t>
      </w:r>
      <w:r w:rsidRPr="00BD2206">
        <w:t xml:space="preserve">bonds and all other components of the PPR.  Any funds drawn from the capital account to pay these amounts due to a shortfall in the </w:t>
      </w:r>
      <w:r w:rsidR="00CB16CA" w:rsidRPr="00BD2206">
        <w:t xml:space="preserve">system restoration </w:t>
      </w:r>
      <w:r w:rsidRPr="00BD2206">
        <w:t xml:space="preserve">charge remittances will be replenished through future </w:t>
      </w:r>
      <w:r w:rsidR="00CB16CA" w:rsidRPr="00BD2206">
        <w:t xml:space="preserve">system restoration </w:t>
      </w:r>
      <w:r w:rsidRPr="00BD2206">
        <w:t xml:space="preserve">charge remittances.  The funds in this subaccount will be invested by the indenture trustee in short-term high-quality investments, and such funds (including investment earnings) will be used by the indenture trustee to pay principal and interest on the </w:t>
      </w:r>
      <w:r w:rsidR="00CB16CA" w:rsidRPr="00BD2206">
        <w:t xml:space="preserve">system restoration </w:t>
      </w:r>
      <w:r w:rsidRPr="00BD2206">
        <w:t xml:space="preserve">bonds and all other components of the PPR.    If </w:t>
      </w:r>
      <w:r w:rsidR="00DA6854" w:rsidRPr="00BD2206">
        <w:t>AEP Texas</w:t>
      </w:r>
      <w:r w:rsidRPr="00BD2206">
        <w:t xml:space="preserve"> is required to make a capital contribution in excess of 0.5% of the original principal amount of any series of bonds, </w:t>
      </w:r>
      <w:r w:rsidR="00DA6854" w:rsidRPr="00BD2206">
        <w:t>AEP Texas</w:t>
      </w:r>
      <w:r w:rsidRPr="00BD2206">
        <w:t xml:space="preserve"> will be authorized to receive an aggregate amount equal to the sum of the (i) actual amounts earned by the trustee from investment of the capital contribution (up to 0.5% of the original principal amount of such series) and (ii) an annual return at the authorized pre-tax return on equity established in </w:t>
      </w:r>
      <w:r w:rsidR="00DA6854" w:rsidRPr="00BD2206">
        <w:t>AEP Texas</w:t>
      </w:r>
      <w:r w:rsidRPr="00BD2206">
        <w:t xml:space="preserve">’ most recent base rate case on the remainder of the capital contribution for such series.  The required revenue, if any, to provide the annual return at the pre-tax equity return established in </w:t>
      </w:r>
      <w:r w:rsidR="00DA6854" w:rsidRPr="00BD2206">
        <w:t>AEP Texas</w:t>
      </w:r>
      <w:r w:rsidRPr="00BD2206">
        <w:t xml:space="preserve">’ most recent base rate case is an ongoing qualified cost.  Upon payment of the principal amount of all </w:t>
      </w:r>
      <w:r w:rsidR="00CB16CA" w:rsidRPr="00BD2206">
        <w:t xml:space="preserve">system restoration </w:t>
      </w:r>
      <w:r w:rsidRPr="00BD2206">
        <w:t xml:space="preserve">bonds and the discharge of all obligations that may be paid by use of </w:t>
      </w:r>
      <w:r w:rsidR="00A56180" w:rsidRPr="00BD2206">
        <w:t xml:space="preserve">system restoration </w:t>
      </w:r>
      <w:r w:rsidRPr="00BD2206">
        <w:t xml:space="preserve">charges, all amounts in the capital subaccount, including any investment earnings, will be released to </w:t>
      </w:r>
      <w:proofErr w:type="spellStart"/>
      <w:r w:rsidRPr="00BD2206">
        <w:t>BondCo</w:t>
      </w:r>
      <w:proofErr w:type="spellEnd"/>
      <w:r w:rsidRPr="00BD2206">
        <w:t xml:space="preserve"> for payment to </w:t>
      </w:r>
      <w:r w:rsidR="00DA6854" w:rsidRPr="00BD2206">
        <w:t>AEP Texas</w:t>
      </w:r>
      <w:r w:rsidRPr="00BD2206">
        <w:t>.  Investment earnings in this subaccount may be released earlier in accordance with the indenture.</w:t>
      </w:r>
      <w:bookmarkStart w:id="683" w:name="_Toc83701921"/>
      <w:bookmarkStart w:id="684" w:name="_Toc83703803"/>
      <w:bookmarkEnd w:id="681"/>
      <w:bookmarkEnd w:id="682"/>
    </w:p>
    <w:p w14:paraId="67B2C371" w14:textId="37DA243E" w:rsidR="003631D6" w:rsidRPr="00BD2206" w:rsidRDefault="003631D6" w:rsidP="003631D6">
      <w:pPr>
        <w:pStyle w:val="FOFNumbered"/>
      </w:pPr>
      <w:r w:rsidRPr="00BD2206">
        <w:t xml:space="preserve">The capital contribution to </w:t>
      </w:r>
      <w:proofErr w:type="spellStart"/>
      <w:r w:rsidRPr="00BD2206">
        <w:t>BondCo</w:t>
      </w:r>
      <w:proofErr w:type="spellEnd"/>
      <w:r w:rsidRPr="00BD2206">
        <w:t xml:space="preserve"> should be funded by </w:t>
      </w:r>
      <w:r w:rsidR="00DA6854" w:rsidRPr="00BD2206">
        <w:t>AEP Texas</w:t>
      </w:r>
      <w:r w:rsidRPr="00BD2206">
        <w:t xml:space="preserve">.  To ensure that </w:t>
      </w:r>
      <w:r w:rsidR="00824E79" w:rsidRPr="00BD2206">
        <w:t xml:space="preserve">ratepayers </w:t>
      </w:r>
      <w:r w:rsidRPr="00BD2206">
        <w:t xml:space="preserve">receive the appropriate benefit from the securitization approved in this Financing Order, the proceeds from the sale of the </w:t>
      </w:r>
      <w:r w:rsidR="00CB16CA" w:rsidRPr="00BD2206">
        <w:t xml:space="preserve">system restoration </w:t>
      </w:r>
      <w:r w:rsidRPr="00BD2206">
        <w:t xml:space="preserve">bonds should not be applied towards this capital contribution.  Because </w:t>
      </w:r>
      <w:r w:rsidR="00DA6854" w:rsidRPr="00BD2206">
        <w:t>AEP Texas</w:t>
      </w:r>
      <w:r w:rsidRPr="00BD2206">
        <w:t xml:space="preserve"> funds the capital subaccount, </w:t>
      </w:r>
      <w:r w:rsidR="00DA6854" w:rsidRPr="00BD2206">
        <w:t>AEP Texas</w:t>
      </w:r>
      <w:r w:rsidRPr="00BD2206">
        <w:t xml:space="preserve"> should receive the investment earnings earned through the indenture trustee's investment of that capital from time to time, and </w:t>
      </w:r>
      <w:bookmarkEnd w:id="683"/>
      <w:bookmarkEnd w:id="684"/>
      <w:r w:rsidRPr="00BD2206">
        <w:t xml:space="preserve">if </w:t>
      </w:r>
      <w:r w:rsidR="00DA6854" w:rsidRPr="00BD2206">
        <w:t>AEP Texas</w:t>
      </w:r>
      <w:r w:rsidRPr="00BD2206">
        <w:t xml:space="preserve"> is required to make a capital contribution in excess of 0.5% of the original principal amount of any series of </w:t>
      </w:r>
      <w:r w:rsidR="000351FE" w:rsidRPr="00BD2206">
        <w:t xml:space="preserve">system restoration </w:t>
      </w:r>
      <w:r w:rsidRPr="00BD2206">
        <w:t xml:space="preserve">bonds, </w:t>
      </w:r>
      <w:r w:rsidR="00DA6854" w:rsidRPr="00BD2206">
        <w:t>AEP Texas</w:t>
      </w:r>
      <w:r w:rsidRPr="00BD2206">
        <w:t xml:space="preserve"> is authorized to receive an aggregate amount equal to the sum of (i) the actual amounts earned by the trustee from investment of the capital contribution (up to 0.5% of the original principal amount of such series) and (ii) an annual return on the remainder of the capital contribution for such series at </w:t>
      </w:r>
      <w:r w:rsidR="00DA6854" w:rsidRPr="00BD2206">
        <w:t>AEP Texas</w:t>
      </w:r>
      <w:r w:rsidR="00B27F0B" w:rsidRPr="00BD2206">
        <w:t>’</w:t>
      </w:r>
      <w:r w:rsidRPr="00BD2206">
        <w:t xml:space="preserve"> then-authorized rate of return on equity.  The required revenue, if any, to provide an annual return on any such additional capital at </w:t>
      </w:r>
      <w:r w:rsidR="00DA6854" w:rsidRPr="00BD2206">
        <w:t>AEP Texas</w:t>
      </w:r>
      <w:r w:rsidR="00B76D44" w:rsidRPr="00BD2206">
        <w:t>’</w:t>
      </w:r>
      <w:r w:rsidRPr="00BD2206">
        <w:t xml:space="preserve"> then-authorized rate of return on equity is an ongoing qualified cost.  Upon payment of the principal amount of all </w:t>
      </w:r>
      <w:r w:rsidR="000351FE" w:rsidRPr="00BD2206">
        <w:t xml:space="preserve">system restoration </w:t>
      </w:r>
      <w:r w:rsidRPr="00BD2206">
        <w:t xml:space="preserve">bonds and the discharge of all obligations that may be paid by use of </w:t>
      </w:r>
      <w:r w:rsidR="000351FE" w:rsidRPr="00BD2206">
        <w:t xml:space="preserve">system restoration </w:t>
      </w:r>
      <w:r w:rsidRPr="00BD2206">
        <w:t xml:space="preserve">charges, all amounts in the capital subaccount, including any investment earnings, will be released to </w:t>
      </w:r>
      <w:proofErr w:type="spellStart"/>
      <w:r w:rsidRPr="00BD2206">
        <w:t>BondCo</w:t>
      </w:r>
      <w:proofErr w:type="spellEnd"/>
      <w:r w:rsidRPr="00BD2206">
        <w:t xml:space="preserve"> for payment to </w:t>
      </w:r>
      <w:r w:rsidR="00DA6854" w:rsidRPr="00BD2206">
        <w:t>AEP Texas</w:t>
      </w:r>
      <w:r w:rsidRPr="00BD2206">
        <w:t xml:space="preserve">.  Investment earnings in this subaccount may be released earlier in accordance with the indenture.  </w:t>
      </w:r>
    </w:p>
    <w:p w14:paraId="5000AC07" w14:textId="77777777" w:rsidR="003631D6" w:rsidRPr="00BD2206" w:rsidRDefault="003631D6" w:rsidP="003631D6">
      <w:pPr>
        <w:pStyle w:val="Heading4"/>
        <w:numPr>
          <w:ilvl w:val="0"/>
          <w:numId w:val="0"/>
        </w:numPr>
        <w:ind w:left="720"/>
      </w:pPr>
      <w:bookmarkStart w:id="685" w:name="_Toc88378151"/>
      <w:bookmarkStart w:id="686" w:name="_Toc88379123"/>
      <w:bookmarkStart w:id="687" w:name="_Toc88379345"/>
      <w:bookmarkStart w:id="688" w:name="_Toc88379565"/>
      <w:bookmarkStart w:id="689" w:name="_Toc88379783"/>
      <w:bookmarkStart w:id="690" w:name="_Toc88379971"/>
      <w:bookmarkStart w:id="691" w:name="_Toc88380441"/>
      <w:bookmarkStart w:id="692" w:name="_Toc88380533"/>
      <w:bookmarkStart w:id="693" w:name="_Toc88380625"/>
      <w:bookmarkStart w:id="694" w:name="_Toc158028406"/>
      <w:bookmarkStart w:id="695" w:name="_Toc177539456"/>
      <w:r w:rsidRPr="00BD2206">
        <w:t>c.</w:t>
      </w:r>
      <w:r w:rsidRPr="00BD2206">
        <w:tab/>
        <w:t>The Excess Funds Subaccount</w:t>
      </w:r>
      <w:bookmarkEnd w:id="685"/>
      <w:bookmarkEnd w:id="686"/>
      <w:bookmarkEnd w:id="687"/>
      <w:bookmarkEnd w:id="688"/>
      <w:bookmarkEnd w:id="689"/>
      <w:bookmarkEnd w:id="690"/>
      <w:bookmarkEnd w:id="691"/>
      <w:bookmarkEnd w:id="692"/>
      <w:bookmarkEnd w:id="693"/>
      <w:bookmarkEnd w:id="694"/>
      <w:bookmarkEnd w:id="695"/>
    </w:p>
    <w:p w14:paraId="44D46A8D" w14:textId="4E5F35D8" w:rsidR="003631D6" w:rsidRPr="00BD2206" w:rsidRDefault="003631D6" w:rsidP="003631D6">
      <w:pPr>
        <w:pStyle w:val="FOFNumbered"/>
      </w:pPr>
      <w:bookmarkStart w:id="696" w:name="_Toc83701922"/>
      <w:bookmarkStart w:id="697" w:name="_Toc83703805"/>
      <w:r w:rsidRPr="00BD2206">
        <w:t xml:space="preserve">The excess funds subaccount will hold any </w:t>
      </w:r>
      <w:r w:rsidR="00B00BD0" w:rsidRPr="00BD2206">
        <w:t xml:space="preserve">system restoration </w:t>
      </w:r>
      <w:r w:rsidRPr="00BD2206">
        <w:t xml:space="preserve">charge remittances and investment earnings on the collection account (other than earnings attributable to the capital subaccount and released under the terms of the indenture) in excess of the amounts needed to pay current principal and interest on the </w:t>
      </w:r>
      <w:r w:rsidR="00B00BD0" w:rsidRPr="00BD2206">
        <w:t xml:space="preserve">system restoration </w:t>
      </w:r>
      <w:r w:rsidRPr="00BD2206">
        <w:t>bonds and to pay other PPRs (including, but not limited to, replenishing the capital subaccount).  Any balance in or allocated to the excess funds subaccount on a true-up adjustment date will be subtracted from the Periodic Billing Requirement, (“PBR”) (as defined in Finding of Fact No. 7</w:t>
      </w:r>
      <w:r w:rsidR="00B8682A" w:rsidRPr="00BD2206">
        <w:t>5</w:t>
      </w:r>
      <w:r w:rsidRPr="00BD2206">
        <w:t xml:space="preserve">) for purposes of the true-up adjustment.  The money in this subaccount will be invested by the indenture trustee in short-term high-quality investments, and such money (including investment earnings thereon) will be used by the indenture trustee to pay principal and interest on the </w:t>
      </w:r>
      <w:r w:rsidR="00B00BD0" w:rsidRPr="00BD2206">
        <w:t xml:space="preserve">system restoration </w:t>
      </w:r>
      <w:r w:rsidRPr="00BD2206">
        <w:t>bonds and other PPRs.</w:t>
      </w:r>
      <w:bookmarkEnd w:id="696"/>
      <w:bookmarkEnd w:id="697"/>
    </w:p>
    <w:p w14:paraId="24086D2E" w14:textId="77777777" w:rsidR="003631D6" w:rsidRPr="00BD2206" w:rsidRDefault="003631D6" w:rsidP="003631D6">
      <w:pPr>
        <w:pStyle w:val="Heading4"/>
        <w:numPr>
          <w:ilvl w:val="0"/>
          <w:numId w:val="0"/>
        </w:numPr>
        <w:ind w:left="720"/>
      </w:pPr>
      <w:bookmarkStart w:id="698" w:name="_Toc158028407"/>
      <w:bookmarkStart w:id="699" w:name="_Toc177539457"/>
      <w:r w:rsidRPr="00BD2206">
        <w:t>d.</w:t>
      </w:r>
      <w:r w:rsidRPr="00BD2206">
        <w:tab/>
        <w:t>Other Subaccount</w:t>
      </w:r>
      <w:bookmarkEnd w:id="698"/>
      <w:r w:rsidRPr="00BD2206">
        <w:t>s</w:t>
      </w:r>
      <w:bookmarkEnd w:id="699"/>
    </w:p>
    <w:p w14:paraId="72513BE6" w14:textId="0FA7B13C" w:rsidR="003631D6" w:rsidRPr="00BD2206" w:rsidRDefault="003631D6" w:rsidP="003631D6">
      <w:pPr>
        <w:pStyle w:val="FOFNumbered"/>
      </w:pPr>
      <w:r w:rsidRPr="00BD2206">
        <w:t xml:space="preserve">Other credit enhancements in the form of subaccounts may be utilized for the transaction provided that the Commission’s designated representative and </w:t>
      </w:r>
      <w:r w:rsidR="00DA6854" w:rsidRPr="00BD2206">
        <w:t>AEP Texas</w:t>
      </w:r>
      <w:r w:rsidRPr="00BD2206">
        <w:t xml:space="preserve"> agree in advance that such enhancements provide benefits greater than their tangible and intangible costs.  For example, </w:t>
      </w:r>
      <w:r w:rsidR="00DA6854" w:rsidRPr="00BD2206">
        <w:t>AEP Texas</w:t>
      </w:r>
      <w:r w:rsidRPr="00BD2206">
        <w:t xml:space="preserve"> does not propose use of an overcollateralization subaccount as was approved in Docket No. 21528 in connection with its </w:t>
      </w:r>
      <w:r w:rsidR="002372C7" w:rsidRPr="00BD2206">
        <w:t xml:space="preserve">first </w:t>
      </w:r>
      <w:r w:rsidRPr="00BD2206">
        <w:t xml:space="preserve">securitization of regulatory assets.  Under Rev. Proc. 2002-49, as </w:t>
      </w:r>
      <w:r w:rsidR="00776CAD" w:rsidRPr="00BD2206">
        <w:t xml:space="preserve">modified, amplified and superseded </w:t>
      </w:r>
      <w:r w:rsidRPr="00BD2206">
        <w:t>by Rev. Proc. 2005-62 issued by the Internal Revenue Service (</w:t>
      </w:r>
      <w:r w:rsidR="00B27F0B" w:rsidRPr="00BD2206">
        <w:t>“</w:t>
      </w:r>
      <w:r w:rsidRPr="00BD2206">
        <w:t>IRS</w:t>
      </w:r>
      <w:r w:rsidR="00B27F0B" w:rsidRPr="00BD2206">
        <w:t>”</w:t>
      </w:r>
      <w:r w:rsidRPr="00BD2206">
        <w:t xml:space="preserve">), the use of an overcollateralization subaccount is not necessary for favorable tax treatment nor does it appear to be necessary to obtain AAA ratings for the proposed </w:t>
      </w:r>
      <w:r w:rsidR="00B00BD0" w:rsidRPr="00BD2206">
        <w:t xml:space="preserve">system restoration </w:t>
      </w:r>
      <w:r w:rsidRPr="00BD2206">
        <w:t xml:space="preserve">bonds.  If the Commission’s designated representative and </w:t>
      </w:r>
      <w:r w:rsidR="00DA6854" w:rsidRPr="00BD2206">
        <w:t>AEP Texas</w:t>
      </w:r>
      <w:r w:rsidRPr="00BD2206">
        <w:t xml:space="preserve"> subsequently agree, however, that use of an overcollateralization subaccount or other subaccount are necessary to obtain AAA ratings or will otherwise increase the tangible and quantifiable benefits of the securitization, </w:t>
      </w:r>
      <w:r w:rsidR="00DA6854" w:rsidRPr="00BD2206">
        <w:t>AEP Texas</w:t>
      </w:r>
      <w:r w:rsidRPr="00BD2206">
        <w:t xml:space="preserve"> may implement such subaccounts in order to reduce </w:t>
      </w:r>
      <w:r w:rsidR="00B00BD0" w:rsidRPr="00BD2206">
        <w:t xml:space="preserve">system restoration </w:t>
      </w:r>
      <w:r w:rsidRPr="00BD2206">
        <w:t xml:space="preserve">bond charges.  </w:t>
      </w:r>
    </w:p>
    <w:p w14:paraId="3173DD9E" w14:textId="77777777" w:rsidR="003631D6" w:rsidRPr="00BD2206" w:rsidRDefault="003631D6" w:rsidP="003631D6">
      <w:pPr>
        <w:pStyle w:val="Heading3"/>
      </w:pPr>
      <w:bookmarkStart w:id="700" w:name="_Toc88378153"/>
      <w:bookmarkStart w:id="701" w:name="_Toc88379125"/>
      <w:bookmarkStart w:id="702" w:name="_Toc88379347"/>
      <w:bookmarkStart w:id="703" w:name="_Toc88379567"/>
      <w:bookmarkStart w:id="704" w:name="_Toc88379785"/>
      <w:bookmarkStart w:id="705" w:name="_Toc88379973"/>
      <w:bookmarkStart w:id="706" w:name="_Toc88380151"/>
      <w:bookmarkStart w:id="707" w:name="_Toc88380281"/>
      <w:bookmarkStart w:id="708" w:name="_Toc88380443"/>
      <w:bookmarkStart w:id="709" w:name="_Toc88380535"/>
      <w:bookmarkStart w:id="710" w:name="_Toc88380627"/>
      <w:bookmarkStart w:id="711" w:name="_Toc97535673"/>
      <w:bookmarkStart w:id="712" w:name="_Toc158028408"/>
      <w:bookmarkStart w:id="713" w:name="_Toc177539458"/>
      <w:bookmarkStart w:id="714" w:name="_Toc2778507"/>
      <w:r w:rsidRPr="00BD2206">
        <w:t>General Provisions</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4509C200" w14:textId="77777777" w:rsidR="003631D6" w:rsidRPr="00BD2206" w:rsidRDefault="003631D6" w:rsidP="003631D6">
      <w:pPr>
        <w:pStyle w:val="FOFNumbered"/>
      </w:pPr>
      <w:bookmarkStart w:id="715" w:name="_Toc83701923"/>
      <w:bookmarkStart w:id="716" w:name="_Toc83703807"/>
      <w:r w:rsidRPr="00BD2206">
        <w:t xml:space="preserve">The collection account and the subaccounts described above are intended to provide for full and timely payment of scheduled principal and interest on the </w:t>
      </w:r>
      <w:r w:rsidR="00B00BD0" w:rsidRPr="00BD2206">
        <w:t xml:space="preserve">system restoration </w:t>
      </w:r>
      <w:r w:rsidRPr="00BD2206">
        <w:t xml:space="preserve">bonds and all other components of the PPR.  If the amount of </w:t>
      </w:r>
      <w:r w:rsidR="00B00BD0" w:rsidRPr="00BD2206">
        <w:t xml:space="preserve">system restoration </w:t>
      </w:r>
      <w:r w:rsidRPr="00BD2206">
        <w:t xml:space="preserve">charges remitted to the general subaccount is insufficient to make all scheduled payments of principal and interest on the </w:t>
      </w:r>
      <w:r w:rsidR="00B00BD0" w:rsidRPr="00BD2206">
        <w:t xml:space="preserve">system restoration </w:t>
      </w:r>
      <w:r w:rsidRPr="00BD2206">
        <w:t>bonds and to make payment on all of the other components of the PPR, the excess funds subaccount and the capital subaccount will be drawn down, in that order, to make those payments.  Any deficiency in the capital subaccount due to such withdrawals must be replenished to the capital subaccount on a periodic basis through the true-up process.  In addition to the foregoing, there may be such additional accounts and subaccounts as are necessary to segregate amounts received from various sources (</w:t>
      </w:r>
      <w:r w:rsidRPr="00BD2206">
        <w:rPr>
          <w:i/>
        </w:rPr>
        <w:t>i.e</w:t>
      </w:r>
      <w:r w:rsidRPr="00BD2206">
        <w:t xml:space="preserve">., amounts received from REPs), or to be used for specified purposes.  Such accounts will be administered and utilized as set forth in the servicing agreement and the indenture.  Upon the maturity of the </w:t>
      </w:r>
      <w:r w:rsidR="00B00BD0" w:rsidRPr="00BD2206">
        <w:t xml:space="preserve">system restoration </w:t>
      </w:r>
      <w:r w:rsidRPr="00BD2206">
        <w:t xml:space="preserve">bonds and the discharge of all obligations in respect thereof, remaining amounts in the collection account, other than amounts that were in the capital subaccount, will be released to </w:t>
      </w:r>
      <w:proofErr w:type="spellStart"/>
      <w:r w:rsidRPr="00BD2206">
        <w:t>BondCo</w:t>
      </w:r>
      <w:proofErr w:type="spellEnd"/>
      <w:r w:rsidRPr="00BD2206">
        <w:t xml:space="preserve"> and equivalent amounts will be credited by </w:t>
      </w:r>
      <w:r w:rsidR="00DA6854" w:rsidRPr="00BD2206">
        <w:t>AEP Texas</w:t>
      </w:r>
      <w:r w:rsidRPr="00BD2206">
        <w:t xml:space="preserve"> to customers consistent with PURA § 39.262(g).</w:t>
      </w:r>
      <w:bookmarkStart w:id="717" w:name="_Toc83701924"/>
      <w:bookmarkStart w:id="718" w:name="_Toc83703808"/>
      <w:bookmarkEnd w:id="715"/>
      <w:bookmarkEnd w:id="716"/>
    </w:p>
    <w:p w14:paraId="22645E68" w14:textId="41A7C6C9" w:rsidR="003631D6" w:rsidRPr="00BD2206" w:rsidRDefault="003631D6" w:rsidP="003631D6">
      <w:pPr>
        <w:pStyle w:val="FOFNumbered"/>
      </w:pPr>
      <w:bookmarkStart w:id="719" w:name="_Ref138485485"/>
      <w:r w:rsidRPr="00BD2206">
        <w:t xml:space="preserve">The use of a collection account and its subaccounts in the manner proposed by </w:t>
      </w:r>
      <w:r w:rsidR="00DA6854" w:rsidRPr="00BD2206">
        <w:t>AEP Texas</w:t>
      </w:r>
      <w:r w:rsidRPr="00BD2206">
        <w:t xml:space="preserve"> is reasonable, will lower risks associated with the securitization and thus lower the costs to </w:t>
      </w:r>
      <w:r w:rsidR="00824E79" w:rsidRPr="00BD2206">
        <w:t>ratepayers</w:t>
      </w:r>
      <w:r w:rsidRPr="00BD2206">
        <w:t>, and should, therefore, be approved.</w:t>
      </w:r>
      <w:bookmarkEnd w:id="717"/>
      <w:bookmarkEnd w:id="718"/>
      <w:bookmarkEnd w:id="719"/>
    </w:p>
    <w:p w14:paraId="7F867E8A" w14:textId="77777777" w:rsidR="003631D6" w:rsidRPr="00BD2206" w:rsidRDefault="005253D1" w:rsidP="003631D6">
      <w:pPr>
        <w:pStyle w:val="Heading3"/>
      </w:pPr>
      <w:bookmarkStart w:id="720" w:name="_Toc88378154"/>
      <w:bookmarkStart w:id="721" w:name="_Toc88379126"/>
      <w:bookmarkStart w:id="722" w:name="_Toc88379348"/>
      <w:bookmarkStart w:id="723" w:name="_Toc88379568"/>
      <w:bookmarkStart w:id="724" w:name="_Toc88379786"/>
      <w:bookmarkStart w:id="725" w:name="_Toc88379974"/>
      <w:bookmarkStart w:id="726" w:name="_Toc88380152"/>
      <w:bookmarkStart w:id="727" w:name="_Toc88380282"/>
      <w:bookmarkStart w:id="728" w:name="_Toc88380444"/>
      <w:bookmarkStart w:id="729" w:name="_Toc88380536"/>
      <w:bookmarkStart w:id="730" w:name="_Toc88380628"/>
      <w:bookmarkStart w:id="731" w:name="_Toc97535674"/>
      <w:bookmarkStart w:id="732" w:name="_Toc158028409"/>
      <w:bookmarkStart w:id="733" w:name="_Toc177539459"/>
      <w:bookmarkStart w:id="734" w:name="_Toc2778508"/>
      <w:r w:rsidRPr="00BD2206">
        <w:t>S</w:t>
      </w:r>
      <w:r w:rsidR="00B00BD0" w:rsidRPr="00BD2206">
        <w:t xml:space="preserve">ystem </w:t>
      </w:r>
      <w:r w:rsidRPr="00BD2206">
        <w:t>R</w:t>
      </w:r>
      <w:r w:rsidR="00B00BD0" w:rsidRPr="00BD2206">
        <w:t xml:space="preserve">estoration </w:t>
      </w:r>
      <w:r w:rsidR="003631D6" w:rsidRPr="00BD2206">
        <w:t xml:space="preserve">Charges—Imposition and Collection, </w:t>
      </w:r>
      <w:proofErr w:type="spellStart"/>
      <w:r w:rsidR="003631D6" w:rsidRPr="00BD2206">
        <w:t>Nonbypassability</w:t>
      </w:r>
      <w:proofErr w:type="spellEnd"/>
      <w:r w:rsidR="003631D6" w:rsidRPr="00BD2206">
        <w:t>, and Self-Generation</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65B16E44" w14:textId="77777777" w:rsidR="003631D6" w:rsidRPr="00BD2206" w:rsidRDefault="00DA6854" w:rsidP="003631D6">
      <w:pPr>
        <w:pStyle w:val="FOFNumbered"/>
      </w:pPr>
      <w:bookmarkStart w:id="735" w:name="_Toc83701925"/>
      <w:bookmarkStart w:id="736" w:name="_Toc83703810"/>
      <w:r w:rsidRPr="00BD2206">
        <w:t>AEP Texas</w:t>
      </w:r>
      <w:r w:rsidR="003631D6" w:rsidRPr="00BD2206">
        <w:t xml:space="preserve"> seeks authorization to impose on and collect from REPs and from other entities which are required to bill, pay or collect </w:t>
      </w:r>
      <w:r w:rsidR="005253D1" w:rsidRPr="00BD2206">
        <w:t xml:space="preserve">system restoration </w:t>
      </w:r>
      <w:r w:rsidR="003631D6" w:rsidRPr="00BD2206">
        <w:t xml:space="preserve">charges under this Financing Order or the tariffs approved hereby, </w:t>
      </w:r>
      <w:r w:rsidR="005253D1" w:rsidRPr="00BD2206">
        <w:t xml:space="preserve">system restoration </w:t>
      </w:r>
      <w:r w:rsidR="003631D6" w:rsidRPr="00BD2206">
        <w:t xml:space="preserve">charges in an amount sufficient to provide for the timely recovery of its qualified costs approved in this Financing Order (including payment of principal and interest on the </w:t>
      </w:r>
      <w:r w:rsidR="005253D1" w:rsidRPr="00BD2206">
        <w:t xml:space="preserve">system restoration </w:t>
      </w:r>
      <w:r w:rsidR="003631D6" w:rsidRPr="00BD2206">
        <w:t xml:space="preserve">bonds and ongoing costs related to the </w:t>
      </w:r>
      <w:r w:rsidR="005253D1" w:rsidRPr="00BD2206">
        <w:t xml:space="preserve">system restoration </w:t>
      </w:r>
      <w:r w:rsidR="003631D6" w:rsidRPr="00BD2206">
        <w:t>bonds).</w:t>
      </w:r>
      <w:bookmarkStart w:id="737" w:name="_Toc83701926"/>
      <w:bookmarkStart w:id="738" w:name="_Toc83703811"/>
      <w:bookmarkEnd w:id="735"/>
      <w:bookmarkEnd w:id="736"/>
    </w:p>
    <w:p w14:paraId="62E0038A" w14:textId="77777777" w:rsidR="003631D6" w:rsidRPr="00BD2206" w:rsidRDefault="005253D1" w:rsidP="003631D6">
      <w:pPr>
        <w:pStyle w:val="FOFNumbered"/>
        <w:tabs>
          <w:tab w:val="left" w:pos="720"/>
        </w:tabs>
      </w:pPr>
      <w:r w:rsidRPr="00BD2206">
        <w:t xml:space="preserve">System restoration </w:t>
      </w:r>
      <w:r w:rsidR="003631D6" w:rsidRPr="00BD2206">
        <w:t xml:space="preserve">charges will be separately identified on bills presented to REPs and other entities obligated to pay or collect </w:t>
      </w:r>
      <w:r w:rsidRPr="00BD2206">
        <w:t xml:space="preserve">system restoration </w:t>
      </w:r>
      <w:r w:rsidR="003631D6" w:rsidRPr="00BD2206">
        <w:t>charges.</w:t>
      </w:r>
      <w:bookmarkStart w:id="739" w:name="_Toc83701927"/>
      <w:bookmarkStart w:id="740" w:name="_Toc83703812"/>
      <w:bookmarkEnd w:id="737"/>
      <w:bookmarkEnd w:id="738"/>
    </w:p>
    <w:p w14:paraId="46F4A0FF" w14:textId="105F1FE0" w:rsidR="003631D6" w:rsidRPr="00BD2206" w:rsidRDefault="003631D6" w:rsidP="003631D6">
      <w:pPr>
        <w:pStyle w:val="FOFNumbered"/>
      </w:pPr>
      <w:r w:rsidRPr="00BD2206">
        <w:t xml:space="preserve">If a REP or other entity does not pay the full amount it has been billed, the amount paid by the REP or such other entity will first be apportioned between the </w:t>
      </w:r>
      <w:r w:rsidR="005253D1" w:rsidRPr="00BD2206">
        <w:t xml:space="preserve">system restoration </w:t>
      </w:r>
      <w:r w:rsidRPr="00BD2206">
        <w:t xml:space="preserve">charges and other fees and charges (including amounts billed and due in respect of transition charges </w:t>
      </w:r>
      <w:r w:rsidR="00DF6CCA" w:rsidRPr="00BD2206">
        <w:t xml:space="preserve">or system restoration charges </w:t>
      </w:r>
      <w:r w:rsidRPr="00BD2206">
        <w:t xml:space="preserve">associated with transition bonds </w:t>
      </w:r>
      <w:r w:rsidR="00DF6CCA" w:rsidRPr="00BD2206">
        <w:t xml:space="preserve">or system restoration bonds </w:t>
      </w:r>
      <w:r w:rsidRPr="00BD2206">
        <w:t xml:space="preserve">issued under other </w:t>
      </w:r>
      <w:r w:rsidR="00DF6CCA" w:rsidRPr="00BD2206">
        <w:t xml:space="preserve">past or future </w:t>
      </w:r>
      <w:r w:rsidRPr="00BD2206">
        <w:t>financing orders), other than late fees, and second, any remaining portion of the payment will be allocated to late fees.  This allocation will facilitate a proper balance between the competing claims to this source of revenue in an equitable manner.</w:t>
      </w:r>
      <w:bookmarkStart w:id="741" w:name="_Toc83701928"/>
      <w:bookmarkStart w:id="742" w:name="_Toc83703813"/>
      <w:bookmarkEnd w:id="739"/>
      <w:bookmarkEnd w:id="740"/>
    </w:p>
    <w:p w14:paraId="31D124A3" w14:textId="52C64764" w:rsidR="003631D6" w:rsidRPr="00BD2206" w:rsidRDefault="003631D6" w:rsidP="003631D6">
      <w:pPr>
        <w:pStyle w:val="FOFNumbered"/>
        <w:tabs>
          <w:tab w:val="clear" w:pos="720"/>
        </w:tabs>
      </w:pPr>
      <w:r w:rsidRPr="00BD2206">
        <w:t xml:space="preserve">The </w:t>
      </w:r>
      <w:r w:rsidR="005253D1" w:rsidRPr="00BD2206">
        <w:t xml:space="preserve">system restoration </w:t>
      </w:r>
      <w:r w:rsidRPr="00BD2206">
        <w:t xml:space="preserve">bonds </w:t>
      </w:r>
      <w:r w:rsidR="00122F98" w:rsidRPr="00BD2206">
        <w:t xml:space="preserve">may </w:t>
      </w:r>
      <w:r w:rsidRPr="00BD2206">
        <w:t xml:space="preserve">have a scheduled final </w:t>
      </w:r>
      <w:r w:rsidR="00B27F0B" w:rsidRPr="00BD2206">
        <w:t xml:space="preserve">payment </w:t>
      </w:r>
      <w:r w:rsidRPr="00BD2206">
        <w:t xml:space="preserve">not to exceed 14 years.  However, amounts may still need to be recovered after the expiration of the scheduled final </w:t>
      </w:r>
      <w:r w:rsidR="00B27F0B" w:rsidRPr="00BD2206">
        <w:t xml:space="preserve">payment </w:t>
      </w:r>
      <w:r w:rsidRPr="00BD2206">
        <w:t xml:space="preserve">date.  </w:t>
      </w:r>
      <w:r w:rsidR="00DA6854" w:rsidRPr="00BD2206">
        <w:t>AEP Texas</w:t>
      </w:r>
      <w:r w:rsidRPr="00BD2206">
        <w:t xml:space="preserve"> proposed that the </w:t>
      </w:r>
      <w:r w:rsidR="005253D1" w:rsidRPr="00BD2206">
        <w:t xml:space="preserve">system restoration </w:t>
      </w:r>
      <w:r w:rsidRPr="00BD2206">
        <w:t xml:space="preserve">charges related to a series of </w:t>
      </w:r>
      <w:r w:rsidR="005253D1" w:rsidRPr="00BD2206">
        <w:t xml:space="preserve">system restoration </w:t>
      </w:r>
      <w:r w:rsidRPr="00BD2206">
        <w:t xml:space="preserve">bonds will be recovered over a period of not more than 15 years from the date of issuance of that series of the </w:t>
      </w:r>
      <w:r w:rsidR="005253D1" w:rsidRPr="00BD2206">
        <w:t xml:space="preserve">system restoration </w:t>
      </w:r>
      <w:r w:rsidRPr="00BD2206">
        <w:t xml:space="preserve">bonds but that amounts due at or before the end of that period for </w:t>
      </w:r>
      <w:r w:rsidR="00D670DC" w:rsidRPr="00BD2206">
        <w:t>system restoration charges allocable to</w:t>
      </w:r>
      <w:r w:rsidRPr="00BD2206">
        <w:t xml:space="preserve"> the 15-year period may be collected after the conclusion of the 15-year period.</w:t>
      </w:r>
      <w:bookmarkStart w:id="743" w:name="_Toc83701929"/>
      <w:bookmarkStart w:id="744" w:name="_Toc83703814"/>
      <w:bookmarkEnd w:id="741"/>
      <w:bookmarkEnd w:id="742"/>
    </w:p>
    <w:p w14:paraId="3F775E6D" w14:textId="03F13CF7" w:rsidR="003631D6" w:rsidRPr="00BD2206" w:rsidRDefault="003631D6" w:rsidP="003631D6">
      <w:pPr>
        <w:pStyle w:val="FOFNumbered"/>
      </w:pPr>
      <w:r w:rsidRPr="00BD2206">
        <w:t xml:space="preserve">PURA § 39.303(b) prohibits the recovery of </w:t>
      </w:r>
      <w:r w:rsidR="005253D1" w:rsidRPr="00BD2206">
        <w:t xml:space="preserve">system restoration </w:t>
      </w:r>
      <w:r w:rsidRPr="00BD2206">
        <w:t xml:space="preserve">charges for a period of time that exceeds 15 years.  </w:t>
      </w:r>
      <w:r w:rsidR="005253D1" w:rsidRPr="00BD2206">
        <w:t xml:space="preserve">System restoration </w:t>
      </w:r>
      <w:r w:rsidRPr="00BD2206">
        <w:t xml:space="preserve">charges related to a series of </w:t>
      </w:r>
      <w:r w:rsidR="005253D1" w:rsidRPr="00BD2206">
        <w:t xml:space="preserve">system restoration </w:t>
      </w:r>
      <w:r w:rsidRPr="00BD2206">
        <w:t xml:space="preserve">bonds may not be collected </w:t>
      </w:r>
      <w:r w:rsidR="00D670DC" w:rsidRPr="00BD2206">
        <w:t xml:space="preserve">for periods </w:t>
      </w:r>
      <w:r w:rsidRPr="00BD2206">
        <w:t xml:space="preserve">after 15 years from the date of issuance of that series of bonds.  This restriction does not, however, prevent the </w:t>
      </w:r>
      <w:r w:rsidR="00D670DC" w:rsidRPr="00BD2206">
        <w:t xml:space="preserve">collection </w:t>
      </w:r>
      <w:r w:rsidRPr="00BD2206">
        <w:t xml:space="preserve">of amounts due at the end of such 15-year period for </w:t>
      </w:r>
      <w:r w:rsidR="00D670DC" w:rsidRPr="00BD2206">
        <w:t>system restoration charges allocable to</w:t>
      </w:r>
      <w:r w:rsidRPr="00BD2206">
        <w:t xml:space="preserve"> such 15-year period.</w:t>
      </w:r>
      <w:bookmarkStart w:id="745" w:name="_Toc83701930"/>
      <w:bookmarkStart w:id="746" w:name="_Toc83703815"/>
      <w:bookmarkEnd w:id="743"/>
      <w:bookmarkEnd w:id="744"/>
    </w:p>
    <w:p w14:paraId="616E53F0" w14:textId="2A6A73F9" w:rsidR="003631D6" w:rsidRPr="00BD2206" w:rsidRDefault="001B3DD2" w:rsidP="003631D6">
      <w:pPr>
        <w:pStyle w:val="FOFNumbered"/>
        <w:rPr>
          <w:color w:val="000000" w:themeColor="text1"/>
        </w:rPr>
      </w:pPr>
      <w:r w:rsidRPr="00BD2206">
        <w:t xml:space="preserve">AEP Texas will collect </w:t>
      </w:r>
      <w:r w:rsidRPr="00BD2206">
        <w:rPr>
          <w:color w:val="000000" w:themeColor="text1"/>
        </w:rPr>
        <w:t>system restoration charges (i) from all REPs serving existing and future retail customers located within AEP Texas’ Central Division’s certificated service area as it existed on the date of this Financing Order and (ii) from other entities (serving such existing and future retail customers) which are required to bill, pay or collect system restoration charges under this Financing Order or the tariffs approved hereby.  Any such existing or future retail customer within such area may not avoid system restoration charges by switching to another electric utility, electric cooperative, or municipally-owned utility on or after the date</w:t>
      </w:r>
      <w:r w:rsidR="00E42ED9" w:rsidRPr="00BD2206">
        <w:rPr>
          <w:color w:val="000000" w:themeColor="text1"/>
        </w:rPr>
        <w:t xml:space="preserve"> this Financing Order is issued</w:t>
      </w:r>
      <w:r w:rsidR="003631D6" w:rsidRPr="00BD2206">
        <w:rPr>
          <w:color w:val="000000" w:themeColor="text1"/>
        </w:rPr>
        <w:t>.</w:t>
      </w:r>
      <w:bookmarkStart w:id="747" w:name="_Ref484403827"/>
      <w:bookmarkStart w:id="748" w:name="_Toc83701931"/>
      <w:bookmarkStart w:id="749" w:name="_Toc83703816"/>
      <w:bookmarkEnd w:id="745"/>
      <w:bookmarkEnd w:id="746"/>
      <w:r w:rsidR="00E42ED9" w:rsidRPr="00BD2206">
        <w:rPr>
          <w:rStyle w:val="FootnoteReference"/>
          <w:color w:val="000000" w:themeColor="text1"/>
        </w:rPr>
        <w:footnoteReference w:id="60"/>
      </w:r>
      <w:r w:rsidR="00E42ED9" w:rsidRPr="00BD2206">
        <w:rPr>
          <w:color w:val="000000" w:themeColor="text1"/>
        </w:rPr>
        <w:t xml:space="preserve">  </w:t>
      </w:r>
    </w:p>
    <w:p w14:paraId="6096FDF2" w14:textId="4283BD52" w:rsidR="003631D6" w:rsidRPr="00BD2206" w:rsidRDefault="00B76D44" w:rsidP="003631D6">
      <w:pPr>
        <w:pStyle w:val="FOFNumbered"/>
      </w:pPr>
      <w:bookmarkStart w:id="750" w:name="_Toc83701932"/>
      <w:bookmarkStart w:id="751" w:name="_Toc83703817"/>
      <w:bookmarkEnd w:id="747"/>
      <w:bookmarkEnd w:id="748"/>
      <w:bookmarkEnd w:id="749"/>
      <w:r w:rsidRPr="00BD2206">
        <w:t xml:space="preserve">A retail </w:t>
      </w:r>
      <w:r w:rsidR="004B10F4" w:rsidRPr="00BD2206">
        <w:t>customer</w:t>
      </w:r>
      <w:r w:rsidRPr="00BD2206">
        <w:t xml:space="preserve"> may not avoid the payment of system restoration charges by switching to new on-site generation.  “New on-site generation” means electric generation capacity greater than 10 megawatts capable of being lawfully delivered to a site without use of utility distribution or transmission facilities and which was not, on or before the date this Financing Order is issued, either (A) a fully operational facility, or (B) a project supported by substantially complete filings for all necessary site-specific environmental permits under the rules of the Texas Commission on Environmental Quality.</w:t>
      </w:r>
      <w:r w:rsidRPr="00BD2206">
        <w:rPr>
          <w:rStyle w:val="FootnoteReference"/>
        </w:rPr>
        <w:footnoteReference w:id="61"/>
      </w:r>
      <w:r w:rsidRPr="00BD2206">
        <w:t xml:space="preserve">  If a </w:t>
      </w:r>
      <w:r w:rsidR="004B10F4" w:rsidRPr="00BD2206">
        <w:t>customer</w:t>
      </w:r>
      <w:r w:rsidRPr="00BD2206">
        <w:t xml:space="preserve"> commences taking energy from new on-site generation that materially reduces the </w:t>
      </w:r>
      <w:r w:rsidR="004B10F4" w:rsidRPr="00BD2206">
        <w:t>customer</w:t>
      </w:r>
      <w:r w:rsidRPr="00BD2206">
        <w:t xml:space="preserve">’s use of energy delivered through AEP Texas’ facilities, the </w:t>
      </w:r>
      <w:r w:rsidR="004B10F4" w:rsidRPr="00BD2206">
        <w:t>customer</w:t>
      </w:r>
      <w:r w:rsidRPr="00BD2206">
        <w:t xml:space="preserve"> will pay an amount each month computed by multiplying the output of the on-site generation utilized to meet the internal electrical requirements of the </w:t>
      </w:r>
      <w:r w:rsidR="004B10F4" w:rsidRPr="00BD2206">
        <w:t>customer</w:t>
      </w:r>
      <w:r w:rsidRPr="00BD2206">
        <w:t xml:space="preserve"> by the applicable system restoration charges in effect for that month.</w:t>
      </w:r>
      <w:r w:rsidRPr="00BD2206">
        <w:rPr>
          <w:rStyle w:val="FootnoteReference"/>
        </w:rPr>
        <w:footnoteReference w:id="62"/>
      </w:r>
      <w:r w:rsidRPr="00BD2206">
        <w:t xml:space="preserve">  Any reduction equivalent to more than 12.5% of the </w:t>
      </w:r>
      <w:r w:rsidR="004B10F4" w:rsidRPr="00BD2206">
        <w:t>customer</w:t>
      </w:r>
      <w:r w:rsidRPr="00BD2206">
        <w:t xml:space="preserve">’s annual average use of energy delivered through AEP Texas’ facilities will be considered material for this purpose.  Payments of the system restoration charges owed by such </w:t>
      </w:r>
      <w:r w:rsidR="00824E79" w:rsidRPr="00BD2206">
        <w:t xml:space="preserve">ratepayers </w:t>
      </w:r>
      <w:r w:rsidRPr="00BD2206">
        <w:t xml:space="preserve">will be made to the servicer and will be collected in addition to any other charges applicable to services provided to the </w:t>
      </w:r>
      <w:r w:rsidR="004B10F4" w:rsidRPr="00BD2206">
        <w:t>customer</w:t>
      </w:r>
      <w:r w:rsidRPr="00BD2206">
        <w:t xml:space="preserve"> through AEP Texas’ facilities and any other charges applicable to self-generation.</w:t>
      </w:r>
      <w:r w:rsidRPr="00BD2206">
        <w:rPr>
          <w:rStyle w:val="FootnoteReference"/>
        </w:rPr>
        <w:footnoteReference w:id="63"/>
      </w:r>
    </w:p>
    <w:p w14:paraId="1B990C00" w14:textId="7D477D41" w:rsidR="003631D6" w:rsidRPr="00BD2206" w:rsidRDefault="00DA6854" w:rsidP="003631D6">
      <w:pPr>
        <w:pStyle w:val="FOFNumbered"/>
        <w:tabs>
          <w:tab w:val="clear" w:pos="720"/>
        </w:tabs>
      </w:pPr>
      <w:bookmarkStart w:id="752" w:name="_Ref138485441"/>
      <w:r w:rsidRPr="00BD2206">
        <w:t>AEP Texas</w:t>
      </w:r>
      <w:r w:rsidR="003631D6" w:rsidRPr="00BD2206">
        <w:t xml:space="preserve">’ proposal related to imposition and collection of </w:t>
      </w:r>
      <w:r w:rsidR="00842229" w:rsidRPr="00BD2206">
        <w:t xml:space="preserve">system restoration </w:t>
      </w:r>
      <w:r w:rsidR="003631D6" w:rsidRPr="00BD2206">
        <w:t xml:space="preserve">charges is reasonable and is necessary to ensure collection of </w:t>
      </w:r>
      <w:r w:rsidR="00842229" w:rsidRPr="00BD2206">
        <w:t xml:space="preserve">system restoration </w:t>
      </w:r>
      <w:r w:rsidR="003631D6" w:rsidRPr="00BD2206">
        <w:t xml:space="preserve">charges sufficient to support recovery of the qualified costs approved in this Financing Order and should be approved.  It is reasonable to approve the form of </w:t>
      </w:r>
      <w:r w:rsidRPr="00BD2206">
        <w:t>AEP Texas</w:t>
      </w:r>
      <w:r w:rsidR="003631D6" w:rsidRPr="00BD2206">
        <w:t xml:space="preserve">’ Schedule </w:t>
      </w:r>
      <w:r w:rsidR="00842229" w:rsidRPr="00BD2206">
        <w:t>SRC</w:t>
      </w:r>
      <w:r w:rsidR="003631D6" w:rsidRPr="00BD2206">
        <w:t xml:space="preserve"> and Rider </w:t>
      </w:r>
      <w:r w:rsidR="00842229" w:rsidRPr="00BD2206">
        <w:t>SRC</w:t>
      </w:r>
      <w:r w:rsidR="003631D6" w:rsidRPr="00BD2206">
        <w:t xml:space="preserve"> in this Financing Order and require that these tariff provisions be filed before any </w:t>
      </w:r>
      <w:r w:rsidR="00842229" w:rsidRPr="00BD2206">
        <w:t xml:space="preserve">system restoration </w:t>
      </w:r>
      <w:r w:rsidR="003631D6" w:rsidRPr="00BD2206">
        <w:t>bonds are issued pursuant to this Financing Order.</w:t>
      </w:r>
      <w:bookmarkEnd w:id="750"/>
      <w:bookmarkEnd w:id="751"/>
      <w:bookmarkEnd w:id="752"/>
    </w:p>
    <w:p w14:paraId="596E22BB" w14:textId="40EED733" w:rsidR="003631D6" w:rsidRPr="00BD2206" w:rsidRDefault="003631D6" w:rsidP="003631D6">
      <w:pPr>
        <w:pStyle w:val="Heading3"/>
      </w:pPr>
      <w:bookmarkStart w:id="753" w:name="_Toc88378155"/>
      <w:bookmarkStart w:id="754" w:name="_Toc88379127"/>
      <w:bookmarkStart w:id="755" w:name="_Toc88379349"/>
      <w:bookmarkStart w:id="756" w:name="_Toc88379569"/>
      <w:bookmarkStart w:id="757" w:name="_Toc88379787"/>
      <w:bookmarkStart w:id="758" w:name="_Toc88379975"/>
      <w:bookmarkStart w:id="759" w:name="_Toc88380153"/>
      <w:bookmarkStart w:id="760" w:name="_Toc88380283"/>
      <w:bookmarkStart w:id="761" w:name="_Toc88380445"/>
      <w:bookmarkStart w:id="762" w:name="_Toc88380537"/>
      <w:bookmarkStart w:id="763" w:name="_Toc88380629"/>
      <w:bookmarkStart w:id="764" w:name="_Toc97535675"/>
      <w:bookmarkStart w:id="765" w:name="_Toc158028410"/>
      <w:bookmarkStart w:id="766" w:name="_Toc177539460"/>
      <w:bookmarkStart w:id="767" w:name="_Toc2778509"/>
      <w:r w:rsidRPr="00BD2206">
        <w:t xml:space="preserve">Allocation of Qualified Costs Among Texas Retail </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r w:rsidR="00824E79" w:rsidRPr="00BD2206">
        <w:t>Customers</w:t>
      </w:r>
      <w:bookmarkEnd w:id="767"/>
      <w:r w:rsidRPr="00BD2206">
        <w:t xml:space="preserve"> </w:t>
      </w:r>
    </w:p>
    <w:p w14:paraId="71374BC1" w14:textId="749B53B9" w:rsidR="003631D6" w:rsidRPr="00BD2206" w:rsidRDefault="003631D6" w:rsidP="003631D6">
      <w:pPr>
        <w:pStyle w:val="FOFNumbered"/>
        <w:tabs>
          <w:tab w:val="left" w:pos="720"/>
        </w:tabs>
      </w:pPr>
      <w:bookmarkStart w:id="768" w:name="_Ref138485386"/>
      <w:r w:rsidRPr="00BD2206">
        <w:t>The PPR is the required periodic payment for a given period (</w:t>
      </w:r>
      <w:r w:rsidRPr="00BD2206">
        <w:rPr>
          <w:i/>
        </w:rPr>
        <w:t xml:space="preserve">e.g., </w:t>
      </w:r>
      <w:r w:rsidRPr="00BD2206">
        <w:t xml:space="preserve">annually, semiannually, or quarterly) due under the </w:t>
      </w:r>
      <w:r w:rsidR="00B85FF4" w:rsidRPr="00BD2206">
        <w:t xml:space="preserve">system restoration </w:t>
      </w:r>
      <w:r w:rsidRPr="00BD2206">
        <w:t xml:space="preserve">bonds.  Each PPR includes: (a) the principal amortization of the </w:t>
      </w:r>
      <w:r w:rsidR="00B85FF4" w:rsidRPr="00BD2206">
        <w:t xml:space="preserve">system restoration </w:t>
      </w:r>
      <w:r w:rsidRPr="00BD2206">
        <w:t xml:space="preserve">bonds in accordance with the expected amortization schedule (including deficiencies of previously scheduled principal for any reason); (b) periodic interest on the </w:t>
      </w:r>
      <w:r w:rsidR="00B85FF4" w:rsidRPr="00BD2206">
        <w:t xml:space="preserve">system restoration </w:t>
      </w:r>
      <w:r w:rsidRPr="00BD2206">
        <w:t xml:space="preserve">bonds (including any accrued and unpaid interest); and (c) ongoing qualified costs consisting of the servicing fee, rating agencies’ fees, trustee fees, legal and accounting fees, other ongoing fees and expenses, and the costs, if any, of maintaining any credit enhancement.  The </w:t>
      </w:r>
      <w:r w:rsidR="00B27F0B" w:rsidRPr="00BD2206">
        <w:t xml:space="preserve">initial </w:t>
      </w:r>
      <w:r w:rsidRPr="00BD2206">
        <w:t xml:space="preserve">PPR for the </w:t>
      </w:r>
      <w:r w:rsidR="00B85FF4" w:rsidRPr="00BD2206">
        <w:t xml:space="preserve">system restoration </w:t>
      </w:r>
      <w:r w:rsidRPr="00BD2206">
        <w:t>bonds issued pursuant to this Financing Order should be updated in the issuance advice letter.</w:t>
      </w:r>
      <w:bookmarkEnd w:id="768"/>
    </w:p>
    <w:p w14:paraId="71621390" w14:textId="77777777" w:rsidR="003631D6" w:rsidRPr="00BD2206" w:rsidRDefault="003631D6" w:rsidP="003631D6">
      <w:pPr>
        <w:pStyle w:val="FOFNumbered"/>
        <w:tabs>
          <w:tab w:val="left" w:pos="720"/>
        </w:tabs>
      </w:pPr>
      <w:bookmarkStart w:id="769" w:name="_Ref138485979"/>
      <w:r w:rsidRPr="00BD2206">
        <w:t xml:space="preserve">The PBR represents the aggregate dollar amount of </w:t>
      </w:r>
      <w:r w:rsidR="00B85FF4" w:rsidRPr="00BD2206">
        <w:t xml:space="preserve">system restoration </w:t>
      </w:r>
      <w:r w:rsidRPr="00BD2206">
        <w:t>charges that must be billed during a given period (</w:t>
      </w:r>
      <w:r w:rsidRPr="00BD2206">
        <w:rPr>
          <w:i/>
        </w:rPr>
        <w:t xml:space="preserve">e.g., </w:t>
      </w:r>
      <w:r w:rsidRPr="00BD2206">
        <w:t xml:space="preserve">annually, semiannually, or quarterly) so that the </w:t>
      </w:r>
      <w:r w:rsidR="00B85FF4" w:rsidRPr="00BD2206">
        <w:t xml:space="preserve">system restoration </w:t>
      </w:r>
      <w:r w:rsidRPr="00BD2206">
        <w:t xml:space="preserve">charge collections will be sufficient to meet the sum of all PPR for that period, given: (i) forecast usage data for the period; (ii) forecast </w:t>
      </w:r>
      <w:proofErr w:type="spellStart"/>
      <w:r w:rsidRPr="00BD2206">
        <w:t>uncollectibles</w:t>
      </w:r>
      <w:proofErr w:type="spellEnd"/>
      <w:r w:rsidRPr="00BD2206">
        <w:t xml:space="preserve"> for the period; and (iii) forecast lags in collection of billed </w:t>
      </w:r>
      <w:r w:rsidR="00B85FF4" w:rsidRPr="00BD2206">
        <w:t xml:space="preserve">system restoration </w:t>
      </w:r>
      <w:r w:rsidRPr="00BD2206">
        <w:t>charges for the period.</w:t>
      </w:r>
      <w:bookmarkEnd w:id="769"/>
    </w:p>
    <w:p w14:paraId="5A955D3E" w14:textId="3858EB1B" w:rsidR="003631D6" w:rsidRPr="00BD2206" w:rsidRDefault="003631D6" w:rsidP="003631D6">
      <w:pPr>
        <w:pStyle w:val="FOFNumbered"/>
        <w:tabs>
          <w:tab w:val="left" w:pos="720"/>
        </w:tabs>
      </w:pPr>
      <w:bookmarkStart w:id="770" w:name="_Ref138486042"/>
      <w:r w:rsidRPr="00BD2206">
        <w:t xml:space="preserve">The </w:t>
      </w:r>
      <w:r w:rsidR="004F0AF3" w:rsidRPr="00BD2206">
        <w:t xml:space="preserve">system restoration </w:t>
      </w:r>
      <w:r w:rsidRPr="00BD2206">
        <w:t xml:space="preserve">costs which will be recovered through the </w:t>
      </w:r>
      <w:r w:rsidR="004F0AF3" w:rsidRPr="00BD2206">
        <w:t>SRC</w:t>
      </w:r>
      <w:r w:rsidRPr="00BD2206">
        <w:t xml:space="preserve"> </w:t>
      </w:r>
      <w:r w:rsidR="004F0AF3" w:rsidRPr="00BD2206">
        <w:t>system restoration</w:t>
      </w:r>
      <w:r w:rsidRPr="00BD2206">
        <w:t xml:space="preserve"> charges authorized by this Financing Order are allocated among the customer classes using an approach based on a set of periodic billing requirement allocation factors (“PBRAFs”) </w:t>
      </w:r>
      <w:r w:rsidR="004F0AF3" w:rsidRPr="00BD2206">
        <w:t>approved</w:t>
      </w:r>
      <w:r w:rsidRPr="00BD2206">
        <w:t xml:space="preserve"> in Docket No. </w:t>
      </w:r>
      <w:r w:rsidR="004F0AF3" w:rsidRPr="00BD2206">
        <w:t>48577</w:t>
      </w:r>
      <w:r w:rsidRPr="00BD2206">
        <w:t xml:space="preserve">.  This approach is reasonable and the PBRAFs calculated in accordance with it should be adopted. </w:t>
      </w:r>
      <w:bookmarkEnd w:id="770"/>
    </w:p>
    <w:p w14:paraId="2F26FCF3" w14:textId="53D7A039" w:rsidR="003631D6" w:rsidRPr="00BD2206" w:rsidRDefault="003631D6" w:rsidP="003631D6">
      <w:pPr>
        <w:pStyle w:val="FOFNumbered"/>
      </w:pPr>
      <w:r w:rsidRPr="00BD2206">
        <w:t>Pursuant to the approach described in Finding of Fact No. 7</w:t>
      </w:r>
      <w:r w:rsidR="00CE0913" w:rsidRPr="00BD2206">
        <w:t>6</w:t>
      </w:r>
      <w:r w:rsidRPr="00BD2206">
        <w:t>, the Commission adopts the following PBRAFs:</w:t>
      </w:r>
    </w:p>
    <w:tbl>
      <w:tblPr>
        <w:tblW w:w="7737" w:type="dxa"/>
        <w:tblInd w:w="828" w:type="dxa"/>
        <w:tblLayout w:type="fixed"/>
        <w:tblLook w:val="0000" w:firstRow="0" w:lastRow="0" w:firstColumn="0" w:lastColumn="0" w:noHBand="0" w:noVBand="0"/>
      </w:tblPr>
      <w:tblGrid>
        <w:gridCol w:w="5215"/>
        <w:gridCol w:w="2522"/>
      </w:tblGrid>
      <w:tr w:rsidR="00922BBE" w:rsidRPr="00BD2206" w14:paraId="4DA281FD" w14:textId="77777777" w:rsidTr="00C0386F">
        <w:trPr>
          <w:cantSplit/>
          <w:trHeight w:val="619"/>
        </w:trPr>
        <w:tc>
          <w:tcPr>
            <w:tcW w:w="5215" w:type="dxa"/>
          </w:tcPr>
          <w:p w14:paraId="565DD957" w14:textId="77777777" w:rsidR="00922BBE" w:rsidRPr="00BD2206" w:rsidRDefault="00922BBE" w:rsidP="00C0386F">
            <w:pPr>
              <w:spacing w:line="480" w:lineRule="auto"/>
              <w:ind w:left="792" w:hanging="792"/>
              <w:rPr>
                <w:u w:val="single"/>
              </w:rPr>
            </w:pPr>
            <w:r w:rsidRPr="00BD2206">
              <w:tab/>
            </w:r>
            <w:r w:rsidRPr="00BD2206">
              <w:rPr>
                <w:u w:val="single"/>
              </w:rPr>
              <w:t>SRC Rate Class</w:t>
            </w:r>
          </w:p>
        </w:tc>
        <w:tc>
          <w:tcPr>
            <w:tcW w:w="2522" w:type="dxa"/>
          </w:tcPr>
          <w:p w14:paraId="6967C94D" w14:textId="77777777" w:rsidR="00922BBE" w:rsidRPr="00BD2206" w:rsidRDefault="00922BBE" w:rsidP="00C0386F">
            <w:pPr>
              <w:spacing w:line="480" w:lineRule="auto"/>
              <w:ind w:left="720" w:hanging="720"/>
              <w:jc w:val="center"/>
              <w:rPr>
                <w:u w:val="single"/>
              </w:rPr>
            </w:pPr>
            <w:r w:rsidRPr="00BD2206">
              <w:rPr>
                <w:u w:val="single"/>
              </w:rPr>
              <w:t>PBRAF</w:t>
            </w:r>
          </w:p>
        </w:tc>
      </w:tr>
      <w:tr w:rsidR="00922BBE" w:rsidRPr="00BD2206" w14:paraId="33D50BDE" w14:textId="77777777" w:rsidTr="00C0386F">
        <w:trPr>
          <w:cantSplit/>
          <w:trHeight w:val="300"/>
        </w:trPr>
        <w:tc>
          <w:tcPr>
            <w:tcW w:w="5215" w:type="dxa"/>
          </w:tcPr>
          <w:p w14:paraId="6E6199C7" w14:textId="77777777" w:rsidR="00922BBE" w:rsidRPr="00BD2206" w:rsidRDefault="00922BBE" w:rsidP="00C0386F">
            <w:pPr>
              <w:ind w:left="720" w:hanging="720"/>
              <w:jc w:val="both"/>
            </w:pPr>
            <w:r w:rsidRPr="00BD2206">
              <w:t>Residential</w:t>
            </w:r>
          </w:p>
        </w:tc>
        <w:tc>
          <w:tcPr>
            <w:tcW w:w="2522" w:type="dxa"/>
          </w:tcPr>
          <w:p w14:paraId="31556373" w14:textId="77777777" w:rsidR="00922BBE" w:rsidRPr="00BD2206" w:rsidRDefault="00922BBE" w:rsidP="00C0386F">
            <w:pPr>
              <w:tabs>
                <w:tab w:val="decimal" w:pos="852"/>
              </w:tabs>
              <w:jc w:val="both"/>
            </w:pPr>
            <w:r w:rsidRPr="00BD2206">
              <w:t>52.5194%</w:t>
            </w:r>
          </w:p>
        </w:tc>
      </w:tr>
      <w:tr w:rsidR="00922BBE" w:rsidRPr="00BD2206" w14:paraId="4BFB0862" w14:textId="77777777" w:rsidTr="00C0386F">
        <w:trPr>
          <w:cantSplit/>
          <w:trHeight w:val="1240"/>
        </w:trPr>
        <w:tc>
          <w:tcPr>
            <w:tcW w:w="5215" w:type="dxa"/>
          </w:tcPr>
          <w:p w14:paraId="0F351C5E" w14:textId="77777777" w:rsidR="00922BBE" w:rsidRPr="00BD2206" w:rsidRDefault="00922BBE" w:rsidP="00C0386F">
            <w:pPr>
              <w:ind w:left="720" w:hanging="720"/>
              <w:jc w:val="both"/>
            </w:pPr>
            <w:r w:rsidRPr="00BD2206">
              <w:t>Secondary Service Less Than or Equal to 10 kW</w:t>
            </w:r>
          </w:p>
          <w:p w14:paraId="038DF807" w14:textId="77777777" w:rsidR="00922BBE" w:rsidRPr="00BD2206" w:rsidRDefault="00922BBE" w:rsidP="00C0386F">
            <w:pPr>
              <w:ind w:left="720" w:hanging="720"/>
              <w:jc w:val="both"/>
            </w:pPr>
            <w:r w:rsidRPr="00BD2206">
              <w:t>Secondary Service Greater Than 10 kW</w:t>
            </w:r>
          </w:p>
          <w:p w14:paraId="7870C8A8" w14:textId="77777777" w:rsidR="00922BBE" w:rsidRPr="00BD2206" w:rsidRDefault="00922BBE" w:rsidP="00C0386F">
            <w:pPr>
              <w:ind w:left="720" w:hanging="720"/>
              <w:jc w:val="both"/>
            </w:pPr>
            <w:r w:rsidRPr="00BD2206">
              <w:t>Primary Service</w:t>
            </w:r>
          </w:p>
          <w:p w14:paraId="19CEC401" w14:textId="77777777" w:rsidR="00922BBE" w:rsidRPr="00BD2206" w:rsidRDefault="00922BBE" w:rsidP="00C0386F">
            <w:pPr>
              <w:ind w:left="720" w:hanging="720"/>
              <w:jc w:val="both"/>
            </w:pPr>
            <w:r w:rsidRPr="00BD2206">
              <w:t>Lighting Service</w:t>
            </w:r>
          </w:p>
        </w:tc>
        <w:tc>
          <w:tcPr>
            <w:tcW w:w="2522" w:type="dxa"/>
          </w:tcPr>
          <w:p w14:paraId="2C420E4A" w14:textId="77777777" w:rsidR="00922BBE" w:rsidRPr="00BD2206" w:rsidRDefault="00922BBE" w:rsidP="00C0386F">
            <w:pPr>
              <w:tabs>
                <w:tab w:val="decimal" w:pos="852"/>
              </w:tabs>
              <w:jc w:val="both"/>
            </w:pPr>
            <w:r w:rsidRPr="00BD2206">
              <w:t xml:space="preserve">  2.9287%</w:t>
            </w:r>
          </w:p>
          <w:p w14:paraId="7D2B01FF" w14:textId="77777777" w:rsidR="00922BBE" w:rsidRPr="00BD2206" w:rsidRDefault="00922BBE" w:rsidP="00C0386F">
            <w:r w:rsidRPr="00BD2206">
              <w:t xml:space="preserve">          31.8567%</w:t>
            </w:r>
          </w:p>
          <w:p w14:paraId="75F8A106" w14:textId="77777777" w:rsidR="00922BBE" w:rsidRPr="00BD2206" w:rsidRDefault="00922BBE" w:rsidP="00C0386F">
            <w:pPr>
              <w:ind w:firstLine="720"/>
            </w:pPr>
            <w:r w:rsidRPr="00BD2206">
              <w:t>6.0053%</w:t>
            </w:r>
          </w:p>
          <w:p w14:paraId="5E465A17" w14:textId="77777777" w:rsidR="00922BBE" w:rsidRPr="00BD2206" w:rsidRDefault="00922BBE" w:rsidP="00C0386F">
            <w:pPr>
              <w:ind w:firstLine="720"/>
            </w:pPr>
            <w:r w:rsidRPr="00BD2206">
              <w:t>6.6899%</w:t>
            </w:r>
          </w:p>
        </w:tc>
      </w:tr>
    </w:tbl>
    <w:p w14:paraId="05C2BF90" w14:textId="627D43DB" w:rsidR="00EE2AD6" w:rsidRPr="00BD2206" w:rsidRDefault="00EE2AD6" w:rsidP="00EE2AD6">
      <w:pPr>
        <w:pStyle w:val="FOFNumbered"/>
        <w:numPr>
          <w:ilvl w:val="0"/>
          <w:numId w:val="0"/>
        </w:numPr>
        <w:ind w:left="720"/>
      </w:pPr>
    </w:p>
    <w:p w14:paraId="1B3B9D27" w14:textId="77777777" w:rsidR="003631D6" w:rsidRPr="00BD2206" w:rsidRDefault="003631D6" w:rsidP="003631D6">
      <w:pPr>
        <w:pStyle w:val="Heading3"/>
      </w:pPr>
      <w:bookmarkStart w:id="771" w:name="_Toc88378156"/>
      <w:bookmarkStart w:id="772" w:name="_Toc88379128"/>
      <w:bookmarkStart w:id="773" w:name="_Toc88379350"/>
      <w:bookmarkStart w:id="774" w:name="_Toc88379570"/>
      <w:bookmarkStart w:id="775" w:name="_Toc88379788"/>
      <w:bookmarkStart w:id="776" w:name="_Toc88379976"/>
      <w:bookmarkStart w:id="777" w:name="_Toc88380154"/>
      <w:bookmarkStart w:id="778" w:name="_Toc88380284"/>
      <w:bookmarkStart w:id="779" w:name="_Toc88380446"/>
      <w:bookmarkStart w:id="780" w:name="_Toc88380538"/>
      <w:bookmarkStart w:id="781" w:name="_Toc88380630"/>
      <w:bookmarkStart w:id="782" w:name="_Toc97535677"/>
      <w:bookmarkStart w:id="783" w:name="_Toc158028411"/>
      <w:bookmarkStart w:id="784" w:name="_Toc177539461"/>
      <w:bookmarkStart w:id="785" w:name="_Toc2778510"/>
      <w:r w:rsidRPr="00BD2206">
        <w:t xml:space="preserve">True-Up of </w:t>
      </w:r>
      <w:r w:rsidR="009761B6" w:rsidRPr="00BD2206">
        <w:t>S</w:t>
      </w:r>
      <w:r w:rsidR="00A56180" w:rsidRPr="00BD2206">
        <w:t xml:space="preserve">ystem </w:t>
      </w:r>
      <w:r w:rsidR="009761B6" w:rsidRPr="00BD2206">
        <w:t>R</w:t>
      </w:r>
      <w:r w:rsidR="00A56180" w:rsidRPr="00BD2206">
        <w:t xml:space="preserve">estoration </w:t>
      </w:r>
      <w:r w:rsidRPr="00BD2206">
        <w:t>Charges</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14:paraId="5908B097" w14:textId="77777777" w:rsidR="003631D6" w:rsidRPr="00BD2206" w:rsidRDefault="003631D6" w:rsidP="003631D6">
      <w:pPr>
        <w:pStyle w:val="FOFNumbered"/>
      </w:pPr>
      <w:bookmarkStart w:id="786" w:name="_Toc83701943"/>
      <w:bookmarkStart w:id="787" w:name="_Toc83703832"/>
      <w:r w:rsidRPr="00BD2206">
        <w:t xml:space="preserve">Pursuant to PURA § 39.307, the </w:t>
      </w:r>
      <w:r w:rsidRPr="00BD2206">
        <w:rPr>
          <w:w w:val="0"/>
        </w:rPr>
        <w:t>servicer</w:t>
      </w:r>
      <w:r w:rsidRPr="00BD2206">
        <w:t xml:space="preserve"> of the </w:t>
      </w:r>
      <w:r w:rsidR="00C16B6A" w:rsidRPr="00BD2206">
        <w:t xml:space="preserve">system restoration </w:t>
      </w:r>
      <w:r w:rsidRPr="00BD2206">
        <w:t xml:space="preserve">bonds will make annual adjustments to the </w:t>
      </w:r>
      <w:r w:rsidR="00C16B6A" w:rsidRPr="00BD2206">
        <w:t xml:space="preserve">system restoration </w:t>
      </w:r>
      <w:r w:rsidRPr="00BD2206">
        <w:t>charges to:</w:t>
      </w:r>
      <w:bookmarkEnd w:id="786"/>
      <w:bookmarkEnd w:id="787"/>
    </w:p>
    <w:p w14:paraId="3D6B7F60" w14:textId="77777777" w:rsidR="003631D6" w:rsidRPr="00BD2206" w:rsidRDefault="003631D6" w:rsidP="003631D6">
      <w:pPr>
        <w:pStyle w:val="FOFNumbered"/>
        <w:numPr>
          <w:ilvl w:val="0"/>
          <w:numId w:val="0"/>
        </w:numPr>
        <w:ind w:left="1440" w:hanging="540"/>
      </w:pPr>
      <w:bookmarkStart w:id="788" w:name="_Toc83703833"/>
      <w:r w:rsidRPr="00BD2206">
        <w:t>(a</w:t>
      </w:r>
      <w:r w:rsidRPr="00BD2206">
        <w:rPr>
          <w:szCs w:val="24"/>
        </w:rPr>
        <w:t>)</w:t>
      </w:r>
      <w:r w:rsidRPr="00BD2206">
        <w:rPr>
          <w:szCs w:val="24"/>
        </w:rPr>
        <w:tab/>
        <w:t xml:space="preserve">correct any </w:t>
      </w:r>
      <w:proofErr w:type="spellStart"/>
      <w:r w:rsidRPr="00BD2206">
        <w:rPr>
          <w:szCs w:val="24"/>
        </w:rPr>
        <w:t>undercollections</w:t>
      </w:r>
      <w:proofErr w:type="spellEnd"/>
      <w:r w:rsidRPr="00BD2206">
        <w:rPr>
          <w:szCs w:val="24"/>
        </w:rPr>
        <w:t xml:space="preserve"> or </w:t>
      </w:r>
      <w:proofErr w:type="spellStart"/>
      <w:r w:rsidRPr="00BD2206">
        <w:rPr>
          <w:szCs w:val="24"/>
        </w:rPr>
        <w:t>overcollections</w:t>
      </w:r>
      <w:proofErr w:type="spellEnd"/>
      <w:r w:rsidRPr="00BD2206">
        <w:rPr>
          <w:szCs w:val="24"/>
        </w:rPr>
        <w:t xml:space="preserve">, including without limitation any caused by </w:t>
      </w:r>
      <w:r w:rsidRPr="00BD2206">
        <w:t>REP defaults, during the preceding 12 months; and</w:t>
      </w:r>
      <w:bookmarkStart w:id="789" w:name="_Toc83703834"/>
      <w:bookmarkEnd w:id="788"/>
    </w:p>
    <w:p w14:paraId="60025CA4" w14:textId="77777777" w:rsidR="003631D6" w:rsidRPr="00BD2206" w:rsidRDefault="003631D6" w:rsidP="003631D6">
      <w:pPr>
        <w:pStyle w:val="FOFNumbered"/>
        <w:numPr>
          <w:ilvl w:val="0"/>
          <w:numId w:val="0"/>
        </w:numPr>
        <w:ind w:left="1440" w:hanging="540"/>
        <w:rPr>
          <w:szCs w:val="24"/>
        </w:rPr>
      </w:pPr>
      <w:r w:rsidRPr="00BD2206">
        <w:t>(b)</w:t>
      </w:r>
      <w:r w:rsidRPr="00BD2206">
        <w:tab/>
        <w:t>ensure the</w:t>
      </w:r>
      <w:r w:rsidRPr="00BD2206">
        <w:rPr>
          <w:szCs w:val="24"/>
        </w:rPr>
        <w:t xml:space="preserve"> billing of </w:t>
      </w:r>
      <w:r w:rsidR="00C16B6A" w:rsidRPr="00BD2206">
        <w:t xml:space="preserve">system restoration </w:t>
      </w:r>
      <w:r w:rsidRPr="00BD2206">
        <w:rPr>
          <w:szCs w:val="24"/>
        </w:rPr>
        <w:t xml:space="preserve">charges necessary to generate the collection of amounts sufficient to timely provide all scheduled payments of principal and interest (or deposits to sinking funds in respect of principal and interest) and any other amounts due in connection with the </w:t>
      </w:r>
      <w:r w:rsidR="00C16B6A" w:rsidRPr="00BD2206">
        <w:t xml:space="preserve">system restoration </w:t>
      </w:r>
      <w:r w:rsidRPr="00BD2206">
        <w:rPr>
          <w:szCs w:val="24"/>
        </w:rPr>
        <w:t xml:space="preserve">bonds (including ongoing fees and expenses and amounts required to be deposited in or allocated to any collection account or subaccount, trustee indemnities, payments due in connection with any expenses incurred by the indenture trustee or the servicer to enforce bondholder rights and all other payments that may be required pursuant to the waterfall of payments set forth in the indenture) during the period for which such adjusted </w:t>
      </w:r>
      <w:r w:rsidR="00C16B6A" w:rsidRPr="00BD2206">
        <w:t xml:space="preserve">system restoration </w:t>
      </w:r>
      <w:r w:rsidRPr="00BD2206">
        <w:rPr>
          <w:szCs w:val="24"/>
        </w:rPr>
        <w:t>charges are to be in effect.</w:t>
      </w:r>
      <w:bookmarkEnd w:id="789"/>
    </w:p>
    <w:p w14:paraId="55A8E674" w14:textId="77777777" w:rsidR="003631D6" w:rsidRPr="00BD2206" w:rsidRDefault="003631D6" w:rsidP="003631D6">
      <w:pPr>
        <w:pStyle w:val="BodyText"/>
        <w:ind w:left="720" w:firstLine="0"/>
      </w:pPr>
      <w:r w:rsidRPr="00BD2206">
        <w:t xml:space="preserve">With respect to any series of </w:t>
      </w:r>
      <w:r w:rsidR="00C16B6A" w:rsidRPr="00BD2206">
        <w:t xml:space="preserve">system restoration </w:t>
      </w:r>
      <w:r w:rsidRPr="00BD2206">
        <w:t xml:space="preserve">bonds, the servicer will make true-up adjustment filings with the Commission at least annually, within 45 days of the anniversary of the date of the original issuance of the </w:t>
      </w:r>
      <w:r w:rsidR="00C16B6A" w:rsidRPr="00BD2206">
        <w:t xml:space="preserve">system restoration </w:t>
      </w:r>
      <w:r w:rsidRPr="00BD2206">
        <w:t xml:space="preserve">bonds of that series.  </w:t>
      </w:r>
      <w:bookmarkStart w:id="790" w:name="_Toc83701944"/>
      <w:bookmarkStart w:id="791" w:name="_Toc83703835"/>
    </w:p>
    <w:p w14:paraId="4B9DD90A" w14:textId="77777777" w:rsidR="003631D6" w:rsidRPr="00BD2206" w:rsidRDefault="003631D6" w:rsidP="003631D6">
      <w:pPr>
        <w:pStyle w:val="FOFNumbered"/>
      </w:pPr>
      <w:r w:rsidRPr="00BD2206">
        <w:t xml:space="preserve">True-up </w:t>
      </w:r>
      <w:r w:rsidRPr="00BD2206">
        <w:rPr>
          <w:w w:val="0"/>
        </w:rPr>
        <w:t>filings</w:t>
      </w:r>
      <w:r w:rsidRPr="00BD2206">
        <w:t xml:space="preserve"> will be based upon the cumulative differences, regardless of the reason, between the PPR (including scheduled principal and interest payments on the </w:t>
      </w:r>
      <w:r w:rsidR="00C16B6A" w:rsidRPr="00BD2206">
        <w:t xml:space="preserve">system restoration </w:t>
      </w:r>
      <w:r w:rsidRPr="00BD2206">
        <w:t xml:space="preserve">bonds) and the amount of </w:t>
      </w:r>
      <w:r w:rsidR="00C16B6A" w:rsidRPr="00BD2206">
        <w:t xml:space="preserve">system restoration </w:t>
      </w:r>
      <w:r w:rsidRPr="00BD2206">
        <w:t xml:space="preserve">charge remittances to the indenture trustee.  True-up procedures are necessary to ensure full recovery of amounts sufficient to meet the PPR over the expected life of the </w:t>
      </w:r>
      <w:r w:rsidR="00C16B6A" w:rsidRPr="00BD2206">
        <w:t xml:space="preserve">system restoration </w:t>
      </w:r>
      <w:r w:rsidRPr="00BD2206">
        <w:t xml:space="preserve">bonds.  In order to assure adequate </w:t>
      </w:r>
      <w:r w:rsidR="00C16B6A" w:rsidRPr="00BD2206">
        <w:t xml:space="preserve">system restoration </w:t>
      </w:r>
      <w:r w:rsidRPr="00BD2206">
        <w:t xml:space="preserve">charge revenues to fund the PPR and to avoid large </w:t>
      </w:r>
      <w:proofErr w:type="spellStart"/>
      <w:r w:rsidRPr="00BD2206">
        <w:t>overcollections</w:t>
      </w:r>
      <w:proofErr w:type="spellEnd"/>
      <w:r w:rsidRPr="00BD2206">
        <w:t xml:space="preserve"> and </w:t>
      </w:r>
      <w:proofErr w:type="spellStart"/>
      <w:r w:rsidRPr="00BD2206">
        <w:t>undercollections</w:t>
      </w:r>
      <w:proofErr w:type="spellEnd"/>
      <w:r w:rsidRPr="00BD2206">
        <w:t xml:space="preserve"> over time, the servicer will reconcile the </w:t>
      </w:r>
      <w:r w:rsidR="00C16B6A" w:rsidRPr="00BD2206">
        <w:t xml:space="preserve">system restoration </w:t>
      </w:r>
      <w:r w:rsidRPr="00BD2206">
        <w:t xml:space="preserve">charges using </w:t>
      </w:r>
      <w:r w:rsidR="00DA6854" w:rsidRPr="00BD2206">
        <w:t>AEP Texas</w:t>
      </w:r>
      <w:r w:rsidR="00C16B6A" w:rsidRPr="00BD2206">
        <w:t>’</w:t>
      </w:r>
      <w:r w:rsidRPr="00BD2206">
        <w:t xml:space="preserve"> most recent forecast of electricity deliveries (i.e., forecasted billing units) and estimates of transaction-related expenses.  The calculation of the </w:t>
      </w:r>
      <w:r w:rsidR="00C16B6A" w:rsidRPr="00BD2206">
        <w:t xml:space="preserve">system restoration </w:t>
      </w:r>
      <w:r w:rsidRPr="00BD2206">
        <w:t xml:space="preserve">charges will also reflect both a projection of uncollectible </w:t>
      </w:r>
      <w:r w:rsidR="00C16B6A" w:rsidRPr="00BD2206">
        <w:t xml:space="preserve">system restoration </w:t>
      </w:r>
      <w:r w:rsidRPr="00BD2206">
        <w:t xml:space="preserve">charges and a projection of payment lags between the billing and collection of </w:t>
      </w:r>
      <w:r w:rsidR="00C16B6A" w:rsidRPr="00BD2206">
        <w:t xml:space="preserve">system restoration </w:t>
      </w:r>
      <w:r w:rsidRPr="00BD2206">
        <w:t xml:space="preserve">charges based upon </w:t>
      </w:r>
      <w:r w:rsidR="00DA6854" w:rsidRPr="00BD2206">
        <w:t>AEP Texas</w:t>
      </w:r>
      <w:r w:rsidR="00C16B6A" w:rsidRPr="00BD2206">
        <w:t>’</w:t>
      </w:r>
      <w:r w:rsidRPr="00BD2206">
        <w:t xml:space="preserve"> and the </w:t>
      </w:r>
      <w:proofErr w:type="spellStart"/>
      <w:r w:rsidRPr="00BD2206">
        <w:t>REPs’</w:t>
      </w:r>
      <w:proofErr w:type="spellEnd"/>
      <w:r w:rsidRPr="00BD2206">
        <w:t xml:space="preserve"> most recent experience regarding collection of </w:t>
      </w:r>
      <w:r w:rsidR="00C16B6A" w:rsidRPr="00BD2206">
        <w:t xml:space="preserve">system restoration </w:t>
      </w:r>
      <w:r w:rsidRPr="00BD2206">
        <w:t>charges.</w:t>
      </w:r>
      <w:bookmarkEnd w:id="790"/>
      <w:bookmarkEnd w:id="791"/>
    </w:p>
    <w:p w14:paraId="019C39DD" w14:textId="77777777" w:rsidR="003631D6" w:rsidRPr="00BD2206" w:rsidRDefault="003631D6" w:rsidP="003631D6">
      <w:pPr>
        <w:pStyle w:val="FOFNumbered"/>
      </w:pPr>
      <w:r w:rsidRPr="00BD2206">
        <w:t>The servicer will make true-up adjustments in the following manner, known as the standard true-up procedure:</w:t>
      </w:r>
    </w:p>
    <w:p w14:paraId="616495F8" w14:textId="77777777" w:rsidR="003631D6" w:rsidRPr="00BD2206" w:rsidRDefault="003631D6" w:rsidP="003631D6">
      <w:pPr>
        <w:spacing w:line="360" w:lineRule="auto"/>
        <w:ind w:left="1440" w:hanging="540"/>
      </w:pPr>
      <w:r w:rsidRPr="00BD2206">
        <w:t>(a)</w:t>
      </w:r>
      <w:r w:rsidRPr="00BD2206">
        <w:tab/>
        <w:t>allocate the upcoming period’s PBR based on the PBRAFs approved in this Financing Order;</w:t>
      </w:r>
    </w:p>
    <w:p w14:paraId="6ADA3E42" w14:textId="77777777" w:rsidR="003631D6" w:rsidRPr="00BD2206" w:rsidRDefault="003631D6" w:rsidP="003631D6">
      <w:pPr>
        <w:spacing w:line="360" w:lineRule="auto"/>
        <w:ind w:left="1440" w:hanging="540"/>
      </w:pPr>
      <w:r w:rsidRPr="00BD2206">
        <w:t>(b)</w:t>
      </w:r>
      <w:r w:rsidRPr="00BD2206">
        <w:tab/>
        <w:t xml:space="preserve">calculate </w:t>
      </w:r>
      <w:proofErr w:type="spellStart"/>
      <w:r w:rsidRPr="00BD2206">
        <w:t>undercollections</w:t>
      </w:r>
      <w:proofErr w:type="spellEnd"/>
      <w:r w:rsidRPr="00BD2206">
        <w:t xml:space="preserve"> or </w:t>
      </w:r>
      <w:proofErr w:type="spellStart"/>
      <w:r w:rsidRPr="00BD2206">
        <w:t>overcollections</w:t>
      </w:r>
      <w:proofErr w:type="spellEnd"/>
      <w:r w:rsidRPr="00BD2206">
        <w:t xml:space="preserve">, including without limitation any caused by REP defaults, from the preceding period in each class by subtracting the previous period’s </w:t>
      </w:r>
      <w:r w:rsidR="00C16B6A" w:rsidRPr="00BD2206">
        <w:t xml:space="preserve">system restoration </w:t>
      </w:r>
      <w:r w:rsidRPr="00BD2206">
        <w:t>charge revenues collected from each class from the PBR determined for that class for the same period;</w:t>
      </w:r>
    </w:p>
    <w:p w14:paraId="5193563F" w14:textId="77777777" w:rsidR="003631D6" w:rsidRPr="00BD2206" w:rsidRDefault="003631D6" w:rsidP="003631D6">
      <w:pPr>
        <w:spacing w:line="360" w:lineRule="auto"/>
        <w:ind w:left="1440" w:hanging="540"/>
      </w:pPr>
      <w:r w:rsidRPr="00BD2206">
        <w:t>(c)</w:t>
      </w:r>
      <w:r w:rsidRPr="00BD2206">
        <w:tab/>
        <w:t xml:space="preserve">sum the amounts allocated to each customer class in steps (a) and (b) to determine an adjusted PBR for each </w:t>
      </w:r>
      <w:r w:rsidR="00C16B6A" w:rsidRPr="00BD2206">
        <w:t xml:space="preserve">system restoration </w:t>
      </w:r>
      <w:r w:rsidRPr="00BD2206">
        <w:t>charge customer class; and</w:t>
      </w:r>
    </w:p>
    <w:p w14:paraId="1C609ADC" w14:textId="77777777" w:rsidR="003631D6" w:rsidRPr="00BD2206" w:rsidRDefault="003631D6" w:rsidP="003631D6">
      <w:pPr>
        <w:spacing w:line="360" w:lineRule="auto"/>
        <w:ind w:left="1440" w:hanging="540"/>
      </w:pPr>
      <w:r w:rsidRPr="00BD2206">
        <w:t>(d)</w:t>
      </w:r>
      <w:r w:rsidRPr="00BD2206">
        <w:tab/>
        <w:t xml:space="preserve">divide the amount assigned to each customer class in step (c) above by the appropriate forecasted billing units to determine the </w:t>
      </w:r>
      <w:r w:rsidR="00C16B6A" w:rsidRPr="00BD2206">
        <w:t xml:space="preserve">system restoration </w:t>
      </w:r>
      <w:r w:rsidRPr="00BD2206">
        <w:t>charge rate by class for the upcoming period.</w:t>
      </w:r>
    </w:p>
    <w:p w14:paraId="4121B9F2" w14:textId="77777777" w:rsidR="003631D6" w:rsidRPr="00BD2206" w:rsidRDefault="003631D6" w:rsidP="003631D6">
      <w:pPr>
        <w:pStyle w:val="Heading3"/>
      </w:pPr>
      <w:bookmarkStart w:id="792" w:name="_Toc88378157"/>
      <w:bookmarkStart w:id="793" w:name="_Toc88379129"/>
      <w:bookmarkStart w:id="794" w:name="_Toc88379351"/>
      <w:bookmarkStart w:id="795" w:name="_Toc88379571"/>
      <w:bookmarkStart w:id="796" w:name="_Toc88379789"/>
      <w:bookmarkStart w:id="797" w:name="_Toc88379977"/>
      <w:bookmarkStart w:id="798" w:name="_Toc88380155"/>
      <w:bookmarkStart w:id="799" w:name="_Toc88380285"/>
      <w:bookmarkStart w:id="800" w:name="_Toc88380447"/>
      <w:bookmarkStart w:id="801" w:name="_Toc88380539"/>
      <w:bookmarkStart w:id="802" w:name="_Toc88380631"/>
      <w:bookmarkStart w:id="803" w:name="_Toc97535678"/>
      <w:bookmarkStart w:id="804" w:name="_Toc158028412"/>
      <w:bookmarkStart w:id="805" w:name="_Toc177539462"/>
      <w:bookmarkStart w:id="806" w:name="_Toc2778511"/>
      <w:r w:rsidRPr="00BD2206">
        <w:t>Interim True-Up</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p>
    <w:p w14:paraId="45E75274" w14:textId="004114DD" w:rsidR="003631D6" w:rsidRPr="00BD2206" w:rsidRDefault="003631D6" w:rsidP="003631D6">
      <w:pPr>
        <w:pStyle w:val="FOFNumbered"/>
      </w:pPr>
      <w:bookmarkStart w:id="807" w:name="_Toc83701946"/>
      <w:bookmarkStart w:id="808" w:name="_Toc83703841"/>
      <w:r w:rsidRPr="00BD2206">
        <w:t xml:space="preserve">In addition to these annual true-up adjustments, true-up adjustments may be made by the servicer more frequently at any time during the term of the </w:t>
      </w:r>
      <w:r w:rsidR="00C16B6A" w:rsidRPr="00BD2206">
        <w:t xml:space="preserve">system restoration </w:t>
      </w:r>
      <w:r w:rsidRPr="00BD2206">
        <w:t xml:space="preserve">bonds to correct any </w:t>
      </w:r>
      <w:proofErr w:type="spellStart"/>
      <w:r w:rsidRPr="00BD2206">
        <w:t>undercollection</w:t>
      </w:r>
      <w:proofErr w:type="spellEnd"/>
      <w:r w:rsidRPr="00BD2206">
        <w:t xml:space="preserve"> or </w:t>
      </w:r>
      <w:proofErr w:type="spellStart"/>
      <w:r w:rsidRPr="00BD2206">
        <w:t>overcollection</w:t>
      </w:r>
      <w:proofErr w:type="spellEnd"/>
      <w:r w:rsidRPr="00BD2206">
        <w:t xml:space="preserve">, as provided for in this Financing Order, in order to assure timely payment of </w:t>
      </w:r>
      <w:r w:rsidR="00C16B6A" w:rsidRPr="00BD2206">
        <w:t xml:space="preserve">system restoration </w:t>
      </w:r>
      <w:r w:rsidRPr="00BD2206">
        <w:t xml:space="preserve">bonds based on rating agency and bondholder considerations.  Further, the servicer shall make a mandatory interim true-up adjustment semi-annually (or quarterly after the </w:t>
      </w:r>
      <w:r w:rsidR="00B27F0B" w:rsidRPr="00BD2206">
        <w:t xml:space="preserve">final </w:t>
      </w:r>
      <w:r w:rsidRPr="00BD2206">
        <w:t xml:space="preserve">scheduled </w:t>
      </w:r>
      <w:r w:rsidR="00B27F0B" w:rsidRPr="00BD2206">
        <w:t xml:space="preserve">payment </w:t>
      </w:r>
      <w:r w:rsidRPr="00BD2206">
        <w:t xml:space="preserve">date </w:t>
      </w:r>
      <w:r w:rsidR="00B27F0B" w:rsidRPr="00BD2206">
        <w:t xml:space="preserve">of the last tranche </w:t>
      </w:r>
      <w:r w:rsidRPr="00BD2206">
        <w:t xml:space="preserve">of the </w:t>
      </w:r>
      <w:r w:rsidR="00C16B6A" w:rsidRPr="00BD2206">
        <w:t xml:space="preserve">system restoration </w:t>
      </w:r>
      <w:r w:rsidRPr="00BD2206">
        <w:t>bonds):</w:t>
      </w:r>
      <w:bookmarkEnd w:id="807"/>
      <w:bookmarkEnd w:id="808"/>
    </w:p>
    <w:p w14:paraId="5653084D" w14:textId="77777777" w:rsidR="003631D6" w:rsidRPr="00BD2206" w:rsidRDefault="003631D6" w:rsidP="003631D6">
      <w:pPr>
        <w:pStyle w:val="BodyText"/>
        <w:ind w:left="1440" w:hanging="540"/>
      </w:pPr>
      <w:bookmarkStart w:id="809" w:name="_Toc83703842"/>
      <w:r w:rsidRPr="00BD2206">
        <w:t>(a)</w:t>
      </w:r>
      <w:r w:rsidRPr="00BD2206">
        <w:tab/>
        <w:t>if the</w:t>
      </w:r>
      <w:r w:rsidRPr="00BD2206">
        <w:rPr>
          <w:b/>
        </w:rPr>
        <w:t xml:space="preserve"> </w:t>
      </w:r>
      <w:r w:rsidRPr="00BD2206">
        <w:t xml:space="preserve">servicer forecasts that </w:t>
      </w:r>
      <w:r w:rsidR="00C16B6A" w:rsidRPr="00BD2206">
        <w:t xml:space="preserve">system restoration </w:t>
      </w:r>
      <w:r w:rsidRPr="00BD2206">
        <w:t xml:space="preserve">charge collections will be insufficient to make all scheduled payments of principal, interest, and other amounts in respect of the </w:t>
      </w:r>
      <w:r w:rsidR="00C16B6A" w:rsidRPr="00BD2206">
        <w:t xml:space="preserve">system restoration </w:t>
      </w:r>
      <w:r w:rsidRPr="00BD2206">
        <w:t>bonds on a timely basis during the current or next succeeding payment period; and/or</w:t>
      </w:r>
      <w:bookmarkEnd w:id="809"/>
    </w:p>
    <w:p w14:paraId="4A725BD9" w14:textId="77777777" w:rsidR="003631D6" w:rsidRPr="00BD2206" w:rsidRDefault="003631D6" w:rsidP="003631D6">
      <w:pPr>
        <w:pStyle w:val="BodyText"/>
        <w:ind w:left="1440" w:hanging="540"/>
      </w:pPr>
      <w:bookmarkStart w:id="810" w:name="_Toc83703843"/>
      <w:r w:rsidRPr="00BD2206">
        <w:t>(b)</w:t>
      </w:r>
      <w:r w:rsidRPr="00BD2206">
        <w:tab/>
        <w:t>to replenish any draws upon the capital subaccount.</w:t>
      </w:r>
      <w:bookmarkEnd w:id="810"/>
    </w:p>
    <w:p w14:paraId="203A6090" w14:textId="61522FB6" w:rsidR="003631D6" w:rsidRPr="00BD2206" w:rsidRDefault="003631D6" w:rsidP="003631D6">
      <w:pPr>
        <w:pStyle w:val="FOFNumbered"/>
        <w:tabs>
          <w:tab w:val="clear" w:pos="720"/>
        </w:tabs>
      </w:pPr>
      <w:bookmarkStart w:id="811" w:name="_Toc83701947"/>
      <w:bookmarkStart w:id="812" w:name="_Toc83703844"/>
      <w:r w:rsidRPr="00BD2206">
        <w:t xml:space="preserve">In the event an interim true-up (whether mandatory or optional) is necessary, the interim true-up adjustment shall use the methodology utilized in the most recent annual true-up and be filed not less than 15 days prior to the first billing cycle of the month in which the revised </w:t>
      </w:r>
      <w:r w:rsidR="00C16B6A" w:rsidRPr="00BD2206">
        <w:t xml:space="preserve">system restoration </w:t>
      </w:r>
      <w:r w:rsidRPr="00BD2206">
        <w:t xml:space="preserve">charges will be in effect.  In no event will mandatory interim true-up adjustments occur more frequently than every six months if semi-annual </w:t>
      </w:r>
      <w:r w:rsidR="00C16B6A" w:rsidRPr="00BD2206">
        <w:t xml:space="preserve">system restoration </w:t>
      </w:r>
      <w:r w:rsidRPr="00BD2206">
        <w:t>bond payments are required</w:t>
      </w:r>
      <w:r w:rsidR="00C9241C" w:rsidRPr="00BD2206">
        <w:t>,</w:t>
      </w:r>
      <w:r w:rsidRPr="00BD2206">
        <w:t xml:space="preserve"> or every three months if quarterly </w:t>
      </w:r>
      <w:r w:rsidR="00C16B6A" w:rsidRPr="00BD2206">
        <w:t xml:space="preserve">system restoration </w:t>
      </w:r>
      <w:r w:rsidRPr="00BD2206">
        <w:t xml:space="preserve">bond payments are required; provided however, that mandatory interim true-up adjustments after the </w:t>
      </w:r>
      <w:r w:rsidR="00B27F0B" w:rsidRPr="00BD2206">
        <w:t xml:space="preserve">final </w:t>
      </w:r>
      <w:r w:rsidRPr="00BD2206">
        <w:t xml:space="preserve">scheduled </w:t>
      </w:r>
      <w:r w:rsidR="00B27F0B" w:rsidRPr="00BD2206">
        <w:t xml:space="preserve">payment </w:t>
      </w:r>
      <w:r w:rsidRPr="00BD2206">
        <w:t xml:space="preserve">date </w:t>
      </w:r>
      <w:r w:rsidR="00B27F0B" w:rsidRPr="00BD2206">
        <w:t xml:space="preserve">of the last tranche </w:t>
      </w:r>
      <w:r w:rsidRPr="00BD2206">
        <w:t xml:space="preserve">of the </w:t>
      </w:r>
      <w:r w:rsidR="00C16B6A" w:rsidRPr="00BD2206">
        <w:t xml:space="preserve">system restoration </w:t>
      </w:r>
      <w:r w:rsidRPr="00BD2206">
        <w:t>bonds shall occur quarterly.</w:t>
      </w:r>
      <w:bookmarkEnd w:id="811"/>
      <w:bookmarkEnd w:id="812"/>
    </w:p>
    <w:p w14:paraId="7A9727C9" w14:textId="77777777" w:rsidR="003631D6" w:rsidRPr="00BD2206" w:rsidRDefault="003631D6" w:rsidP="003631D6">
      <w:pPr>
        <w:pStyle w:val="Heading3"/>
      </w:pPr>
      <w:bookmarkStart w:id="813" w:name="_Toc2778512"/>
      <w:r w:rsidRPr="00BD2206">
        <w:t>Non-Standard True-Up</w:t>
      </w:r>
      <w:bookmarkEnd w:id="813"/>
      <w:r w:rsidRPr="00BD2206">
        <w:t xml:space="preserve"> </w:t>
      </w:r>
    </w:p>
    <w:p w14:paraId="13DE420F" w14:textId="08BB4289" w:rsidR="003631D6" w:rsidRPr="00BD2206" w:rsidRDefault="003631D6" w:rsidP="003631D6">
      <w:pPr>
        <w:pStyle w:val="FOFNumbered"/>
      </w:pPr>
      <w:bookmarkStart w:id="814" w:name="_Ref138485187"/>
      <w:bookmarkStart w:id="815" w:name="_Toc88378158"/>
      <w:bookmarkStart w:id="816" w:name="_Toc88379130"/>
      <w:bookmarkStart w:id="817" w:name="_Toc88379352"/>
      <w:bookmarkStart w:id="818" w:name="_Toc88379572"/>
      <w:bookmarkStart w:id="819" w:name="_Toc88379790"/>
      <w:bookmarkStart w:id="820" w:name="_Toc88379978"/>
      <w:bookmarkStart w:id="821" w:name="_Toc88380156"/>
      <w:bookmarkStart w:id="822" w:name="_Toc88380286"/>
      <w:bookmarkStart w:id="823" w:name="_Toc88380448"/>
      <w:bookmarkStart w:id="824" w:name="_Toc88380540"/>
      <w:bookmarkStart w:id="825" w:name="_Toc88380632"/>
      <w:r w:rsidRPr="00BD2206">
        <w:t>In accordance with the procedure set forth in Finding of Fact No. 8</w:t>
      </w:r>
      <w:r w:rsidR="00272803" w:rsidRPr="00BD2206">
        <w:t>4</w:t>
      </w:r>
      <w:r w:rsidRPr="00BD2206">
        <w:t xml:space="preserve">, a non-standard true-up procedure will be implemented as the annual true-up adjustment if the forecasted billing units for one or more of the </w:t>
      </w:r>
      <w:r w:rsidR="00321204" w:rsidRPr="00BD2206">
        <w:t xml:space="preserve">system restoration </w:t>
      </w:r>
      <w:r w:rsidRPr="00BD2206">
        <w:t xml:space="preserve">charge customer classes for an upcoming period decreases by more than 10% compared to the billing units approved in this Financing Order (known as the threshold billing units), shown in Appendix </w:t>
      </w:r>
      <w:r w:rsidR="00B27F0B" w:rsidRPr="00BD2206">
        <w:t>E</w:t>
      </w:r>
      <w:r w:rsidRPr="00BD2206">
        <w:t xml:space="preserve"> to this Financing Order</w:t>
      </w:r>
      <w:bookmarkEnd w:id="814"/>
      <w:r w:rsidRPr="00BD2206">
        <w:t>.</w:t>
      </w:r>
    </w:p>
    <w:p w14:paraId="5098ECA0" w14:textId="77777777" w:rsidR="003631D6" w:rsidRPr="00BD2206" w:rsidRDefault="003631D6" w:rsidP="003631D6">
      <w:pPr>
        <w:pStyle w:val="FOFNumbered"/>
      </w:pPr>
      <w:r w:rsidRPr="00BD2206">
        <w:t xml:space="preserve">In conducting the non-standard true-up the servicer will:  </w:t>
      </w:r>
    </w:p>
    <w:p w14:paraId="15BA924A" w14:textId="77777777" w:rsidR="003631D6" w:rsidRPr="00BD2206" w:rsidRDefault="003631D6" w:rsidP="005B35DB">
      <w:pPr>
        <w:tabs>
          <w:tab w:val="left" w:pos="1440"/>
        </w:tabs>
        <w:spacing w:line="360" w:lineRule="auto"/>
        <w:ind w:left="1440" w:hanging="540"/>
        <w:jc w:val="both"/>
      </w:pPr>
      <w:r w:rsidRPr="00BD2206">
        <w:t>(a)</w:t>
      </w:r>
      <w:r w:rsidRPr="00BD2206">
        <w:tab/>
        <w:t>allocate the upcoming period’s PBR based on the PBRAFs approved in this Financing Order;</w:t>
      </w:r>
    </w:p>
    <w:p w14:paraId="318AE465" w14:textId="77777777" w:rsidR="003631D6" w:rsidRPr="00BD2206" w:rsidRDefault="003631D6" w:rsidP="005B35DB">
      <w:pPr>
        <w:tabs>
          <w:tab w:val="left" w:pos="1080"/>
          <w:tab w:val="left" w:pos="1620"/>
        </w:tabs>
        <w:spacing w:line="360" w:lineRule="auto"/>
        <w:ind w:left="1440" w:hanging="540"/>
        <w:jc w:val="both"/>
      </w:pPr>
      <w:r w:rsidRPr="00BD2206">
        <w:t>(b)</w:t>
      </w:r>
      <w:r w:rsidRPr="00BD2206">
        <w:tab/>
        <w:t xml:space="preserve">calculate </w:t>
      </w:r>
      <w:proofErr w:type="spellStart"/>
      <w:r w:rsidRPr="00BD2206">
        <w:t>undercollections</w:t>
      </w:r>
      <w:proofErr w:type="spellEnd"/>
      <w:r w:rsidRPr="00BD2206">
        <w:t xml:space="preserve"> or </w:t>
      </w:r>
      <w:proofErr w:type="spellStart"/>
      <w:r w:rsidRPr="00BD2206">
        <w:t>overcollections</w:t>
      </w:r>
      <w:proofErr w:type="spellEnd"/>
      <w:r w:rsidRPr="00BD2206">
        <w:t xml:space="preserve">, including without limitation any caused by REP defaults, from the preceding period in each class by subtracting the previous period’s </w:t>
      </w:r>
      <w:r w:rsidR="00321204" w:rsidRPr="00BD2206">
        <w:t xml:space="preserve">system restoration </w:t>
      </w:r>
      <w:r w:rsidRPr="00BD2206">
        <w:t>charge revenues collected from each class from the PBR determined for that class for the same period;</w:t>
      </w:r>
    </w:p>
    <w:p w14:paraId="3868C36B" w14:textId="77777777" w:rsidR="003631D6" w:rsidRPr="00BD2206" w:rsidRDefault="003631D6" w:rsidP="005B35DB">
      <w:pPr>
        <w:tabs>
          <w:tab w:val="left" w:pos="1620"/>
        </w:tabs>
        <w:spacing w:line="360" w:lineRule="auto"/>
        <w:ind w:left="1440" w:hanging="540"/>
        <w:jc w:val="both"/>
      </w:pPr>
      <w:r w:rsidRPr="00BD2206">
        <w:t>(c)</w:t>
      </w:r>
      <w:r w:rsidRPr="00BD2206">
        <w:tab/>
        <w:t xml:space="preserve">sum the amounts allocated to each customer class in steps (a) and (b) to determine an adjusted PBR for each </w:t>
      </w:r>
      <w:r w:rsidR="00321204" w:rsidRPr="00BD2206">
        <w:t xml:space="preserve">system restoration </w:t>
      </w:r>
      <w:r w:rsidRPr="00BD2206">
        <w:t>charge customer class;</w:t>
      </w:r>
    </w:p>
    <w:p w14:paraId="261DB9B6" w14:textId="77777777" w:rsidR="003631D6" w:rsidRPr="00BD2206" w:rsidRDefault="003631D6" w:rsidP="005B35DB">
      <w:pPr>
        <w:tabs>
          <w:tab w:val="left" w:pos="1440"/>
        </w:tabs>
        <w:spacing w:line="360" w:lineRule="auto"/>
        <w:ind w:left="1440" w:hanging="540"/>
        <w:jc w:val="both"/>
      </w:pPr>
      <w:r w:rsidRPr="00BD2206">
        <w:t>(d)</w:t>
      </w:r>
      <w:r w:rsidRPr="00BD2206">
        <w:tab/>
        <w:t>divide the PBR for each customer class by the maximum of the forecasted billing units or the threshold billing units for that class, to determine the “threshold rate”;</w:t>
      </w:r>
    </w:p>
    <w:p w14:paraId="5D6A4CCA" w14:textId="77777777" w:rsidR="003631D6" w:rsidRPr="00BD2206" w:rsidRDefault="003631D6" w:rsidP="005B35DB">
      <w:pPr>
        <w:tabs>
          <w:tab w:val="left" w:pos="1440"/>
        </w:tabs>
        <w:spacing w:line="360" w:lineRule="auto"/>
        <w:ind w:left="1440" w:hanging="540"/>
        <w:jc w:val="both"/>
      </w:pPr>
      <w:r w:rsidRPr="00BD2206">
        <w:t>(e)</w:t>
      </w:r>
      <w:r w:rsidRPr="00BD2206">
        <w:tab/>
        <w:t>multiply the threshold rate by the forecasted billing units for each class to determine the expected collections under the threshold rate;</w:t>
      </w:r>
    </w:p>
    <w:p w14:paraId="5210BAC6" w14:textId="77777777" w:rsidR="003631D6" w:rsidRPr="00BD2206" w:rsidRDefault="003631D6" w:rsidP="005B35DB">
      <w:pPr>
        <w:tabs>
          <w:tab w:val="left" w:pos="1440"/>
        </w:tabs>
        <w:spacing w:line="360" w:lineRule="auto"/>
        <w:ind w:left="1440" w:hanging="540"/>
        <w:jc w:val="both"/>
      </w:pPr>
      <w:r w:rsidRPr="00BD2206">
        <w:t>(f)</w:t>
      </w:r>
      <w:r w:rsidRPr="00BD2206">
        <w:tab/>
        <w:t xml:space="preserve">allocate the difference in the adjusted PBR and the expected collections calculated in step (e) among the </w:t>
      </w:r>
      <w:r w:rsidR="00321204" w:rsidRPr="00BD2206">
        <w:t xml:space="preserve">system restoration </w:t>
      </w:r>
      <w:r w:rsidRPr="00BD2206">
        <w:t>charge customer classes using the PBRAFs approved in this Financing Order;</w:t>
      </w:r>
    </w:p>
    <w:p w14:paraId="66DA0C27" w14:textId="77777777" w:rsidR="003631D6" w:rsidRPr="00BD2206" w:rsidRDefault="003631D6" w:rsidP="005B35DB">
      <w:pPr>
        <w:tabs>
          <w:tab w:val="left" w:pos="1440"/>
        </w:tabs>
        <w:spacing w:line="360" w:lineRule="auto"/>
        <w:ind w:left="1440" w:hanging="540"/>
        <w:jc w:val="both"/>
      </w:pPr>
      <w:r w:rsidRPr="00BD2206">
        <w:t>(g)</w:t>
      </w:r>
      <w:r w:rsidRPr="00BD2206">
        <w:tab/>
        <w:t>add the amount allocated to each class in step (f) above to the expected collection amount by class calculated in step (e) above to determine the final PBR for each class; and</w:t>
      </w:r>
    </w:p>
    <w:p w14:paraId="56112648" w14:textId="77777777" w:rsidR="003631D6" w:rsidRPr="00BD2206" w:rsidRDefault="003631D6" w:rsidP="005B35DB">
      <w:pPr>
        <w:tabs>
          <w:tab w:val="left" w:pos="1440"/>
        </w:tabs>
        <w:spacing w:line="360" w:lineRule="auto"/>
        <w:ind w:left="1440" w:hanging="540"/>
        <w:jc w:val="both"/>
      </w:pPr>
      <w:r w:rsidRPr="00BD2206">
        <w:t>(h)</w:t>
      </w:r>
      <w:r w:rsidRPr="00BD2206">
        <w:tab/>
        <w:t xml:space="preserve">divide the final PBR for each class by the forecasted billing units to determine the </w:t>
      </w:r>
      <w:r w:rsidR="00321204" w:rsidRPr="00BD2206">
        <w:t xml:space="preserve">system restoration </w:t>
      </w:r>
      <w:r w:rsidRPr="00BD2206">
        <w:t xml:space="preserve">charge rate by class for the upcoming period.  </w:t>
      </w:r>
    </w:p>
    <w:p w14:paraId="6AF68A7F" w14:textId="77777777" w:rsidR="003631D6" w:rsidRPr="00BD2206" w:rsidRDefault="003631D6" w:rsidP="003631D6">
      <w:pPr>
        <w:pStyle w:val="FOFNumbered"/>
      </w:pPr>
      <w:bookmarkStart w:id="826" w:name="_Ref138485214"/>
      <w:r w:rsidRPr="00BD2206">
        <w:t>A proceeding for the purpose of approving a non-standard true-up should be conducted in the following manner:</w:t>
      </w:r>
      <w:bookmarkEnd w:id="826"/>
    </w:p>
    <w:p w14:paraId="0F2C0B06" w14:textId="77777777" w:rsidR="003631D6" w:rsidRPr="00BD2206" w:rsidRDefault="003631D6" w:rsidP="005B35DB">
      <w:pPr>
        <w:tabs>
          <w:tab w:val="left" w:pos="1440"/>
        </w:tabs>
        <w:spacing w:line="360" w:lineRule="auto"/>
        <w:ind w:left="1440" w:hanging="540"/>
        <w:jc w:val="both"/>
      </w:pPr>
      <w:r w:rsidRPr="00BD2206">
        <w:t>(a)</w:t>
      </w:r>
      <w:r w:rsidRPr="00BD2206">
        <w:tab/>
        <w:t xml:space="preserve">The servicer will make a “non-standard true-up filing” with the Commission at least 90 days before the date of the proposed true-up adjustment.  The filing will contain the proposed changes to the </w:t>
      </w:r>
      <w:r w:rsidR="00321204" w:rsidRPr="00BD2206">
        <w:t xml:space="preserve">system restoration </w:t>
      </w:r>
      <w:r w:rsidRPr="00BD2206">
        <w:t>charge rates, justification for such changes as necessary to specifically address the cause(s) of the proposed non-standard true-up, and a statement of the proposed effective date.</w:t>
      </w:r>
    </w:p>
    <w:p w14:paraId="27AF936A" w14:textId="77777777" w:rsidR="003631D6" w:rsidRPr="00BD2206" w:rsidRDefault="003631D6" w:rsidP="003631D6">
      <w:pPr>
        <w:tabs>
          <w:tab w:val="left" w:pos="1440"/>
        </w:tabs>
        <w:spacing w:line="360" w:lineRule="auto"/>
        <w:ind w:left="1440" w:hanging="540"/>
        <w:jc w:val="both"/>
      </w:pPr>
      <w:r w:rsidRPr="00BD2206">
        <w:t>(b)</w:t>
      </w:r>
      <w:r w:rsidRPr="00BD2206">
        <w:tab/>
        <w:t>Concurrently with the filing of the non-standard true-up with the Commission, the servicer will notify all parties in this docket of the filing of the proposal for a non-standard true-up.</w:t>
      </w:r>
    </w:p>
    <w:p w14:paraId="15B6FFC2" w14:textId="77777777" w:rsidR="003631D6" w:rsidRPr="00BD2206" w:rsidRDefault="003631D6" w:rsidP="003631D6">
      <w:pPr>
        <w:tabs>
          <w:tab w:val="left" w:pos="1440"/>
        </w:tabs>
        <w:spacing w:line="360" w:lineRule="auto"/>
        <w:ind w:left="1440" w:hanging="540"/>
        <w:jc w:val="both"/>
      </w:pPr>
      <w:r w:rsidRPr="00BD2206">
        <w:t>(c)</w:t>
      </w:r>
      <w:r w:rsidRPr="00BD2206">
        <w:tab/>
        <w:t xml:space="preserve">The servicer will issue appropriate notice and the Commission will conduct a contested case proceeding on the non-standard true-up proposal pursuant to PURA § 39.003.  </w:t>
      </w:r>
    </w:p>
    <w:p w14:paraId="287E7C6F" w14:textId="77777777" w:rsidR="003631D6" w:rsidRPr="00BD2206" w:rsidRDefault="003631D6" w:rsidP="003631D6">
      <w:pPr>
        <w:spacing w:line="360" w:lineRule="auto"/>
        <w:ind w:left="720"/>
        <w:jc w:val="both"/>
      </w:pPr>
      <w:r w:rsidRPr="00BD2206">
        <w:t xml:space="preserve">The scope of the proceeding will be limited to determining whether the proposed adjustment complies with this Financing Order.  The Commission will issue a final order by the proposed true-up adjustment date stated in the non-standard true-up filing.  In the event that the Commission cannot issue an order by that date, the servicer will be permitted to implement its proposed changes.  Any modifications subsequently ordered by the Commission will be made by the servicer in the next true-up filing. </w:t>
      </w:r>
    </w:p>
    <w:p w14:paraId="177888B1" w14:textId="77777777" w:rsidR="003631D6" w:rsidRPr="00BD2206" w:rsidRDefault="003631D6" w:rsidP="003631D6">
      <w:pPr>
        <w:pStyle w:val="Heading3"/>
      </w:pPr>
      <w:bookmarkStart w:id="827" w:name="_Toc88378159"/>
      <w:bookmarkStart w:id="828" w:name="_Toc88379131"/>
      <w:bookmarkStart w:id="829" w:name="_Toc88379353"/>
      <w:bookmarkStart w:id="830" w:name="_Toc88379573"/>
      <w:bookmarkStart w:id="831" w:name="_Toc88379791"/>
      <w:bookmarkStart w:id="832" w:name="_Toc88379979"/>
      <w:bookmarkStart w:id="833" w:name="_Toc88380157"/>
      <w:bookmarkStart w:id="834" w:name="_Toc88380287"/>
      <w:bookmarkStart w:id="835" w:name="_Toc88380449"/>
      <w:bookmarkStart w:id="836" w:name="_Toc88380541"/>
      <w:bookmarkStart w:id="837" w:name="_Toc88380633"/>
      <w:bookmarkStart w:id="838" w:name="_Toc97535680"/>
      <w:bookmarkStart w:id="839" w:name="_Toc158028414"/>
      <w:bookmarkStart w:id="840" w:name="_Toc177539464"/>
      <w:bookmarkStart w:id="841" w:name="_Toc2778513"/>
      <w:bookmarkEnd w:id="815"/>
      <w:bookmarkEnd w:id="816"/>
      <w:bookmarkEnd w:id="817"/>
      <w:bookmarkEnd w:id="818"/>
      <w:bookmarkEnd w:id="819"/>
      <w:bookmarkEnd w:id="820"/>
      <w:bookmarkEnd w:id="821"/>
      <w:bookmarkEnd w:id="822"/>
      <w:bookmarkEnd w:id="823"/>
      <w:bookmarkEnd w:id="824"/>
      <w:bookmarkEnd w:id="825"/>
      <w:r w:rsidRPr="00BD2206">
        <w:t>Additional True-Up Provisions</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0620A407" w14:textId="4E7908F3" w:rsidR="003631D6" w:rsidRPr="00BD2206" w:rsidRDefault="003631D6" w:rsidP="003631D6">
      <w:pPr>
        <w:pStyle w:val="FOFNumbered"/>
      </w:pPr>
      <w:bookmarkStart w:id="842" w:name="_Toc83701952"/>
      <w:bookmarkStart w:id="843" w:name="_Toc83703856"/>
      <w:r w:rsidRPr="00BD2206">
        <w:t xml:space="preserve">The true-up adjustment filing will set forth the servicer’s calculation of the true-up adjustment to the </w:t>
      </w:r>
      <w:r w:rsidR="002E2E98" w:rsidRPr="00BD2206">
        <w:t xml:space="preserve">system restoration </w:t>
      </w:r>
      <w:r w:rsidRPr="00BD2206">
        <w:t xml:space="preserve">charges.  </w:t>
      </w:r>
      <w:r w:rsidR="001A2666" w:rsidRPr="00BD2206">
        <w:t>As provided in Schedule SRC, e</w:t>
      </w:r>
      <w:r w:rsidRPr="00BD2206">
        <w:t>xcept for the non-standard true-up in Finding</w:t>
      </w:r>
      <w:r w:rsidR="00E41D0F" w:rsidRPr="00BD2206">
        <w:t>s</w:t>
      </w:r>
      <w:r w:rsidRPr="00BD2206">
        <w:t xml:space="preserve"> of Fact Nos. 8</w:t>
      </w:r>
      <w:r w:rsidR="00272803" w:rsidRPr="00BD2206">
        <w:t>3</w:t>
      </w:r>
      <w:r w:rsidRPr="00BD2206">
        <w:t xml:space="preserve"> through 8</w:t>
      </w:r>
      <w:r w:rsidR="00272803" w:rsidRPr="00BD2206">
        <w:t>5</w:t>
      </w:r>
      <w:r w:rsidRPr="00BD2206">
        <w:t xml:space="preserve">, the Commission will have 15 days after the date of a true-up adjustment filing in which to confirm the mathematical accuracy of the servicer’s adjustment.  </w:t>
      </w:r>
      <w:r w:rsidR="001A2666" w:rsidRPr="00BD2206">
        <w:t>As provided in Schedule SRC, e</w:t>
      </w:r>
      <w:r w:rsidRPr="00BD2206">
        <w:t>xcept for the non-standard true-up adjustment described above, any true-up adjustment filed with the Commission should be effective on its proposed effective date, which shall be not less than 15 days after filing.  Any necessary corrections to the true-up adjustment, due to mathematical errors in the calculation of such adjustment or otherwise, will be made in future true-up adjustment filings.</w:t>
      </w:r>
      <w:bookmarkStart w:id="844" w:name="_Toc83701953"/>
      <w:bookmarkStart w:id="845" w:name="_Toc83703857"/>
      <w:bookmarkEnd w:id="842"/>
      <w:bookmarkEnd w:id="843"/>
    </w:p>
    <w:p w14:paraId="2D415D16" w14:textId="012EEF79" w:rsidR="003631D6" w:rsidRPr="00BD2206" w:rsidRDefault="003631D6" w:rsidP="003631D6">
      <w:pPr>
        <w:pStyle w:val="FOFNumbered"/>
      </w:pPr>
      <w:r w:rsidRPr="00BD2206">
        <w:t xml:space="preserve">The true-up procedures contained in Schedule </w:t>
      </w:r>
      <w:r w:rsidR="002E2E98" w:rsidRPr="00BD2206">
        <w:t>SR</w:t>
      </w:r>
      <w:r w:rsidRPr="00BD2206">
        <w:t xml:space="preserve">C are reasonable and will reduce risks related to the </w:t>
      </w:r>
      <w:r w:rsidR="002E2E98" w:rsidRPr="00BD2206">
        <w:t xml:space="preserve">system restoration </w:t>
      </w:r>
      <w:r w:rsidRPr="00BD2206">
        <w:t xml:space="preserve">bonds, resulting in lower </w:t>
      </w:r>
      <w:r w:rsidR="002E2E98" w:rsidRPr="00BD2206">
        <w:t xml:space="preserve">system restoration </w:t>
      </w:r>
      <w:r w:rsidRPr="00BD2206">
        <w:t xml:space="preserve">bond charges and greater benefits to </w:t>
      </w:r>
      <w:r w:rsidR="00824E79" w:rsidRPr="00BD2206">
        <w:t xml:space="preserve">ratepayers </w:t>
      </w:r>
      <w:r w:rsidRPr="00BD2206">
        <w:t>and should be approved.</w:t>
      </w:r>
      <w:bookmarkEnd w:id="844"/>
      <w:bookmarkEnd w:id="845"/>
    </w:p>
    <w:p w14:paraId="3F9CE5D7" w14:textId="10702D47" w:rsidR="003631D6" w:rsidRPr="00BD2206" w:rsidRDefault="003631D6" w:rsidP="003631D6">
      <w:pPr>
        <w:pStyle w:val="FOFNumbered"/>
      </w:pPr>
      <w:r w:rsidRPr="00BD2206">
        <w:t xml:space="preserve">The broad-based nature of the true-up mechanism and the pledge of the State of Texas embodied in PURA § 39.310, along with the bankruptcy remoteness of the special purpose entity and the collection account, will serve to minimize credit risk associated with the </w:t>
      </w:r>
      <w:r w:rsidR="002E2E98" w:rsidRPr="00BD2206">
        <w:t xml:space="preserve">system restoration </w:t>
      </w:r>
      <w:r w:rsidRPr="00BD2206">
        <w:t xml:space="preserve">bonds </w:t>
      </w:r>
      <w:r w:rsidRPr="00BD2206">
        <w:rPr>
          <w:i/>
        </w:rPr>
        <w:t>(i.e</w:t>
      </w:r>
      <w:r w:rsidRPr="00BD2206">
        <w:t>., that sufficient funds will be available and paid to discharge all principal and interest obligations when due).</w:t>
      </w:r>
    </w:p>
    <w:p w14:paraId="012A4293" w14:textId="77777777" w:rsidR="003631D6" w:rsidRPr="00BD2206" w:rsidRDefault="003631D6" w:rsidP="003631D6">
      <w:pPr>
        <w:pStyle w:val="Heading3"/>
      </w:pPr>
      <w:bookmarkStart w:id="846" w:name="_Toc88378160"/>
      <w:bookmarkStart w:id="847" w:name="_Toc88379132"/>
      <w:bookmarkStart w:id="848" w:name="_Toc88379354"/>
      <w:bookmarkStart w:id="849" w:name="_Toc88379574"/>
      <w:bookmarkStart w:id="850" w:name="_Toc88379792"/>
      <w:bookmarkStart w:id="851" w:name="_Toc88379980"/>
      <w:bookmarkStart w:id="852" w:name="_Toc88380158"/>
      <w:bookmarkStart w:id="853" w:name="_Toc88380288"/>
      <w:bookmarkStart w:id="854" w:name="_Toc88380450"/>
      <w:bookmarkStart w:id="855" w:name="_Toc88380542"/>
      <w:bookmarkStart w:id="856" w:name="_Toc88380634"/>
      <w:bookmarkStart w:id="857" w:name="_Toc97535681"/>
      <w:bookmarkStart w:id="858" w:name="_Toc158028415"/>
      <w:bookmarkStart w:id="859" w:name="_Toc177539465"/>
      <w:bookmarkStart w:id="860" w:name="_Toc2778514"/>
      <w:r w:rsidRPr="00BD2206">
        <w:t>Designated Representative</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4D48B03B" w14:textId="77777777" w:rsidR="003631D6" w:rsidRPr="00BD2206" w:rsidRDefault="003631D6" w:rsidP="003631D6">
      <w:pPr>
        <w:pStyle w:val="FOFNumbered"/>
      </w:pPr>
      <w:bookmarkStart w:id="861" w:name="_Toc83701954"/>
      <w:bookmarkStart w:id="862" w:name="_Toc83703859"/>
      <w:r w:rsidRPr="00BD2206">
        <w:t xml:space="preserve">In order to ensure, as required by PURA §39.301, that the structuring and pricing of the </w:t>
      </w:r>
      <w:r w:rsidR="008D502D" w:rsidRPr="00BD2206">
        <w:t xml:space="preserve">system restoration </w:t>
      </w:r>
      <w:r w:rsidRPr="00BD2206">
        <w:t xml:space="preserve">bonds result in the lowest </w:t>
      </w:r>
      <w:r w:rsidR="008D502D" w:rsidRPr="00BD2206">
        <w:t xml:space="preserve">system restoration </w:t>
      </w:r>
      <w:r w:rsidRPr="00BD2206">
        <w:t xml:space="preserve">bond charges consistent with market conditions and the terms of this Financing Order, the Commission finds that it is necessary for the Commission or its designated representative to have a decision-making role co-equal with </w:t>
      </w:r>
      <w:r w:rsidR="00DA6854" w:rsidRPr="00BD2206">
        <w:t>AEP Texas</w:t>
      </w:r>
      <w:r w:rsidRPr="00BD2206">
        <w:t xml:space="preserve"> with respect to the structuring and pricing of the </w:t>
      </w:r>
      <w:r w:rsidR="008D502D" w:rsidRPr="00BD2206">
        <w:t xml:space="preserve">system restoration </w:t>
      </w:r>
      <w:r w:rsidRPr="00BD2206">
        <w:t xml:space="preserve">bonds and that all matters related to the structuring and pricing of the </w:t>
      </w:r>
      <w:r w:rsidR="008D502D" w:rsidRPr="00BD2206">
        <w:t xml:space="preserve">system restoration </w:t>
      </w:r>
      <w:r w:rsidRPr="00BD2206">
        <w:t xml:space="preserve">bonds shall be determined through a joint decision of </w:t>
      </w:r>
      <w:r w:rsidR="00DA6854" w:rsidRPr="00BD2206">
        <w:t>AEP Texas</w:t>
      </w:r>
      <w:r w:rsidRPr="00BD2206">
        <w:t xml:space="preserve"> and the Commission or its designated representative.  The Commission’s primary goal is to ensure that the structuring and pricing of the </w:t>
      </w:r>
      <w:r w:rsidR="008D502D" w:rsidRPr="00BD2206">
        <w:t xml:space="preserve">system restoration </w:t>
      </w:r>
      <w:r w:rsidRPr="00BD2206">
        <w:t xml:space="preserve">bonds result in the lowest </w:t>
      </w:r>
      <w:r w:rsidR="008D502D" w:rsidRPr="00BD2206">
        <w:t xml:space="preserve">system restoration </w:t>
      </w:r>
      <w:r w:rsidRPr="00BD2206">
        <w:t>bond charges consistent with market conditions and the terms of this Financing Order.</w:t>
      </w:r>
      <w:bookmarkStart w:id="863" w:name="_Toc83701955"/>
      <w:bookmarkStart w:id="864" w:name="_Toc83703860"/>
      <w:bookmarkEnd w:id="861"/>
      <w:bookmarkEnd w:id="862"/>
    </w:p>
    <w:p w14:paraId="789DB56D" w14:textId="77777777" w:rsidR="003631D6" w:rsidRPr="00BD2206" w:rsidRDefault="003631D6" w:rsidP="003631D6">
      <w:pPr>
        <w:pStyle w:val="FOFNumbered"/>
      </w:pPr>
      <w:r w:rsidRPr="00BD2206">
        <w:t xml:space="preserve">The Commission or its designated representative must have an opportunity to participate fully and in advance in all plans and decisions relating to the structuring, marketing, and pricing of the </w:t>
      </w:r>
      <w:r w:rsidR="008D502D" w:rsidRPr="00BD2206">
        <w:t xml:space="preserve">system restoration </w:t>
      </w:r>
      <w:r w:rsidRPr="00BD2206">
        <w:t xml:space="preserve">bonds and must be provided timely information as necessary to allow it to participate in a timely manner (including, but not limited to, information prepared for the benefit of rating agencies and information prepared for use in marketing the </w:t>
      </w:r>
      <w:r w:rsidR="008D502D" w:rsidRPr="00BD2206">
        <w:t xml:space="preserve">system restoration </w:t>
      </w:r>
      <w:r w:rsidRPr="00BD2206">
        <w:t>bonds to investors).</w:t>
      </w:r>
      <w:bookmarkEnd w:id="863"/>
      <w:bookmarkEnd w:id="864"/>
    </w:p>
    <w:p w14:paraId="554614C7" w14:textId="77777777" w:rsidR="003631D6" w:rsidRPr="00BD2206" w:rsidRDefault="003631D6" w:rsidP="003631D6">
      <w:pPr>
        <w:pStyle w:val="FOFNumbered"/>
      </w:pPr>
      <w:r w:rsidRPr="00BD2206">
        <w:t xml:space="preserve">The Commission or its designated representative may require a certificate from the </w:t>
      </w:r>
      <w:proofErr w:type="spellStart"/>
      <w:r w:rsidRPr="00BD2206">
        <w:t>bookrunning</w:t>
      </w:r>
      <w:proofErr w:type="spellEnd"/>
      <w:r w:rsidRPr="00BD2206">
        <w:t xml:space="preserve"> underwriter(s) confirming that the structuring, marketing, and pricing of the </w:t>
      </w:r>
      <w:r w:rsidR="0095019D" w:rsidRPr="00BD2206">
        <w:t xml:space="preserve">system restoration </w:t>
      </w:r>
      <w:r w:rsidRPr="00BD2206">
        <w:t xml:space="preserve">resulted in the lowest </w:t>
      </w:r>
      <w:r w:rsidR="008D502D" w:rsidRPr="00BD2206">
        <w:t xml:space="preserve">system restoration </w:t>
      </w:r>
      <w:r w:rsidRPr="00BD2206">
        <w:t>bond charges consistent with market conditions, the marketing plan, and the terms of this Financing Order.</w:t>
      </w:r>
    </w:p>
    <w:p w14:paraId="7C97EBA2" w14:textId="7A2CF7DB" w:rsidR="003631D6" w:rsidRPr="00BD2206" w:rsidRDefault="00DA6854" w:rsidP="008529F3">
      <w:pPr>
        <w:pStyle w:val="FOFNumbered"/>
      </w:pPr>
      <w:r w:rsidRPr="00BD2206">
        <w:t>AEP Texas</w:t>
      </w:r>
      <w:r w:rsidR="003631D6" w:rsidRPr="00BD2206">
        <w:t xml:space="preserve"> stated that it expected the following transaction documents to be executed in connection with each series of </w:t>
      </w:r>
      <w:r w:rsidR="008D502D" w:rsidRPr="00BD2206">
        <w:t xml:space="preserve">system restoration </w:t>
      </w:r>
      <w:r w:rsidR="003631D6" w:rsidRPr="00BD2206">
        <w:t>bonds issued pursuant to this Financing Order and that it expected the form of each document to be consistent in all material respects with those used in its last securitization:  Administration Agreement, Indenture, Limited Liability Company Agreement, Transition Property Servicing Agreement, and Transition Property Purchase and Sale Agreement.  The Commission’s designated representative shall be afforded an opportunity to review and comment on these documents before they are finalized, and the final versions shall be consistent with this Financing Order.</w:t>
      </w:r>
    </w:p>
    <w:p w14:paraId="6B37A1C8" w14:textId="77777777" w:rsidR="003631D6" w:rsidRPr="00BD2206" w:rsidRDefault="003631D6" w:rsidP="003631D6">
      <w:pPr>
        <w:pStyle w:val="Heading3"/>
      </w:pPr>
      <w:bookmarkStart w:id="865" w:name="_Toc88378161"/>
      <w:bookmarkStart w:id="866" w:name="_Toc88379133"/>
      <w:bookmarkStart w:id="867" w:name="_Toc88379355"/>
      <w:bookmarkStart w:id="868" w:name="_Toc88379575"/>
      <w:bookmarkStart w:id="869" w:name="_Toc88379793"/>
      <w:bookmarkStart w:id="870" w:name="_Toc88379981"/>
      <w:bookmarkStart w:id="871" w:name="_Toc88380159"/>
      <w:bookmarkStart w:id="872" w:name="_Toc88380289"/>
      <w:bookmarkStart w:id="873" w:name="_Toc88380451"/>
      <w:bookmarkStart w:id="874" w:name="_Toc88380543"/>
      <w:bookmarkStart w:id="875" w:name="_Toc88380635"/>
      <w:bookmarkStart w:id="876" w:name="_Toc97535682"/>
      <w:bookmarkStart w:id="877" w:name="_Toc158028416"/>
      <w:bookmarkStart w:id="878" w:name="_Toc177539466"/>
      <w:bookmarkStart w:id="879" w:name="_Toc2778515"/>
      <w:r w:rsidRPr="00BD2206">
        <w:t xml:space="preserve">Lowest </w:t>
      </w:r>
      <w:r w:rsidR="0095019D" w:rsidRPr="00BD2206">
        <w:t>System Restoration</w:t>
      </w:r>
      <w:r w:rsidRPr="00BD2206">
        <w:t xml:space="preserve"> Bond Charges</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50466047" w14:textId="77777777" w:rsidR="003631D6" w:rsidRPr="00BD2206" w:rsidRDefault="00DA6854" w:rsidP="005F1EE2">
      <w:pPr>
        <w:pStyle w:val="FOFNumbered"/>
      </w:pPr>
      <w:bookmarkStart w:id="880" w:name="_Ref484374150"/>
      <w:bookmarkStart w:id="881" w:name="_Toc83701956"/>
      <w:bookmarkStart w:id="882" w:name="_Toc83703862"/>
      <w:r w:rsidRPr="00BD2206">
        <w:t>AEP Texas</w:t>
      </w:r>
      <w:r w:rsidR="003631D6" w:rsidRPr="00BD2206">
        <w:t xml:space="preserve"> has proposed a transaction structure that is expected to include (but is not limited to):</w:t>
      </w:r>
      <w:bookmarkEnd w:id="880"/>
      <w:bookmarkEnd w:id="881"/>
      <w:bookmarkEnd w:id="882"/>
    </w:p>
    <w:p w14:paraId="36E86FEA" w14:textId="77777777" w:rsidR="003631D6" w:rsidRPr="00BD2206" w:rsidRDefault="003631D6" w:rsidP="005F1EE2">
      <w:pPr>
        <w:pStyle w:val="BodyText"/>
        <w:tabs>
          <w:tab w:val="left" w:pos="900"/>
          <w:tab w:val="left" w:pos="1440"/>
        </w:tabs>
        <w:ind w:left="1440" w:hanging="540"/>
      </w:pPr>
      <w:bookmarkStart w:id="883" w:name="_Toc83703863"/>
      <w:r w:rsidRPr="00BD2206">
        <w:t>(a)</w:t>
      </w:r>
      <w:r w:rsidR="00C766B6" w:rsidRPr="00BD2206">
        <w:tab/>
      </w:r>
      <w:r w:rsidRPr="00BD2206">
        <w:t xml:space="preserve">the use of </w:t>
      </w:r>
      <w:proofErr w:type="spellStart"/>
      <w:r w:rsidRPr="00BD2206">
        <w:t>BondCo</w:t>
      </w:r>
      <w:proofErr w:type="spellEnd"/>
      <w:r w:rsidRPr="00BD2206">
        <w:t xml:space="preserve"> as issuer of the </w:t>
      </w:r>
      <w:r w:rsidR="008D502D" w:rsidRPr="00BD2206">
        <w:t xml:space="preserve">system restoration </w:t>
      </w:r>
      <w:r w:rsidRPr="00BD2206">
        <w:t xml:space="preserve">bonds, limiting the risks to </w:t>
      </w:r>
      <w:r w:rsidR="0095019D" w:rsidRPr="00BD2206">
        <w:t>system restoration</w:t>
      </w:r>
      <w:r w:rsidRPr="00BD2206">
        <w:t xml:space="preserve"> bond holders of any adverse impact resulting from a bankruptcy proceeding of its parent or any affiliate;</w:t>
      </w:r>
      <w:bookmarkEnd w:id="883"/>
    </w:p>
    <w:p w14:paraId="0E1A41F9" w14:textId="24DE95B0" w:rsidR="003631D6" w:rsidRPr="00BD2206" w:rsidRDefault="00C766B6" w:rsidP="005F1EE2">
      <w:pPr>
        <w:pStyle w:val="BodyText"/>
        <w:tabs>
          <w:tab w:val="left" w:pos="1440"/>
        </w:tabs>
        <w:ind w:left="1440" w:hanging="540"/>
      </w:pPr>
      <w:bookmarkStart w:id="884" w:name="_Toc83703864"/>
      <w:r w:rsidRPr="00BD2206">
        <w:t>(b)</w:t>
      </w:r>
      <w:r w:rsidRPr="00BD2206">
        <w:tab/>
      </w:r>
      <w:r w:rsidR="003631D6" w:rsidRPr="00BD2206">
        <w:t xml:space="preserve">the right to impose and collect </w:t>
      </w:r>
      <w:r w:rsidR="008D502D" w:rsidRPr="00BD2206">
        <w:t xml:space="preserve">system restoration </w:t>
      </w:r>
      <w:r w:rsidR="003631D6" w:rsidRPr="00BD2206">
        <w:t xml:space="preserve">charges that are </w:t>
      </w:r>
      <w:proofErr w:type="spellStart"/>
      <w:r w:rsidR="003631D6" w:rsidRPr="00BD2206">
        <w:t>nonbypassable</w:t>
      </w:r>
      <w:proofErr w:type="spellEnd"/>
      <w:r w:rsidR="003631D6" w:rsidRPr="00BD2206">
        <w:t xml:space="preserve"> and which must be trued-up at least annually, but may be trued-up more frequently under certain circumstances, in order to assure the timely payment of the debt service and other ongoing </w:t>
      </w:r>
      <w:r w:rsidR="00410FBD" w:rsidRPr="00BD2206">
        <w:t xml:space="preserve">qualified </w:t>
      </w:r>
      <w:r w:rsidR="003631D6" w:rsidRPr="00BD2206">
        <w:t>costs;</w:t>
      </w:r>
      <w:bookmarkEnd w:id="884"/>
    </w:p>
    <w:p w14:paraId="20619865" w14:textId="77777777" w:rsidR="003631D6" w:rsidRPr="00BD2206" w:rsidRDefault="003631D6" w:rsidP="005F1EE2">
      <w:pPr>
        <w:pStyle w:val="BodyText"/>
        <w:tabs>
          <w:tab w:val="left" w:pos="1440"/>
        </w:tabs>
        <w:ind w:left="1440" w:hanging="540"/>
      </w:pPr>
      <w:bookmarkStart w:id="885" w:name="_Toc83703865"/>
      <w:r w:rsidRPr="00BD2206">
        <w:t>(c)</w:t>
      </w:r>
      <w:r w:rsidR="00C766B6" w:rsidRPr="00BD2206">
        <w:tab/>
      </w:r>
      <w:r w:rsidRPr="00BD2206">
        <w:t xml:space="preserve">additional collateral in the form of a collection account which includes a capital subaccount funded in cash in an amount equal to not less than 0.5% of the original principal amount of the </w:t>
      </w:r>
      <w:r w:rsidR="008D502D" w:rsidRPr="00BD2206">
        <w:t xml:space="preserve">system restoration </w:t>
      </w:r>
      <w:r w:rsidRPr="00BD2206">
        <w:t xml:space="preserve">bonds and other subaccounts resulting in greater certainty of payment of interest and principal to investors and that are consistent with the IRS requirements that must be met to receive the desired federal income tax treatment for the </w:t>
      </w:r>
      <w:r w:rsidR="008D502D" w:rsidRPr="00BD2206">
        <w:t xml:space="preserve">system restoration </w:t>
      </w:r>
      <w:r w:rsidRPr="00BD2206">
        <w:t>bond transaction;</w:t>
      </w:r>
      <w:bookmarkEnd w:id="885"/>
    </w:p>
    <w:p w14:paraId="5B20113D" w14:textId="4B702CDD" w:rsidR="003631D6" w:rsidRPr="00BD2206" w:rsidRDefault="00C766B6" w:rsidP="00C766B6">
      <w:pPr>
        <w:pStyle w:val="BodyText"/>
        <w:tabs>
          <w:tab w:val="left" w:pos="1440"/>
        </w:tabs>
        <w:ind w:left="1440" w:hanging="540"/>
      </w:pPr>
      <w:bookmarkStart w:id="886" w:name="_Toc83703866"/>
      <w:r w:rsidRPr="00BD2206">
        <w:t>(d)</w:t>
      </w:r>
      <w:r w:rsidRPr="00BD2206">
        <w:tab/>
      </w:r>
      <w:r w:rsidR="003631D6" w:rsidRPr="00BD2206">
        <w:t xml:space="preserve">protection of </w:t>
      </w:r>
      <w:r w:rsidR="008D502D" w:rsidRPr="00BD2206">
        <w:t xml:space="preserve">system restoration </w:t>
      </w:r>
      <w:r w:rsidR="003631D6" w:rsidRPr="00BD2206">
        <w:t xml:space="preserve">bondholders against potential defaults by a servicer or REPs that are responsible for billing and collecting the </w:t>
      </w:r>
      <w:r w:rsidR="008D502D" w:rsidRPr="00BD2206">
        <w:t xml:space="preserve">system restoration </w:t>
      </w:r>
      <w:r w:rsidR="003631D6" w:rsidRPr="00BD2206">
        <w:t xml:space="preserve">charges from existing or future retail </w:t>
      </w:r>
      <w:r w:rsidR="00824E79" w:rsidRPr="00BD2206">
        <w:t>customers</w:t>
      </w:r>
      <w:r w:rsidR="003631D6" w:rsidRPr="00BD2206">
        <w:t>;</w:t>
      </w:r>
      <w:bookmarkEnd w:id="886"/>
    </w:p>
    <w:p w14:paraId="784233FD" w14:textId="77777777" w:rsidR="003631D6" w:rsidRPr="00BD2206" w:rsidRDefault="003631D6" w:rsidP="00C766B6">
      <w:pPr>
        <w:pStyle w:val="BodyText"/>
        <w:tabs>
          <w:tab w:val="left" w:pos="1440"/>
        </w:tabs>
        <w:ind w:left="1440" w:hanging="540"/>
      </w:pPr>
      <w:bookmarkStart w:id="887" w:name="_Toc83703867"/>
      <w:r w:rsidRPr="00BD2206">
        <w:t>(e)</w:t>
      </w:r>
      <w:r w:rsidR="00C766B6" w:rsidRPr="00BD2206">
        <w:tab/>
      </w:r>
      <w:r w:rsidRPr="00BD2206">
        <w:t xml:space="preserve">benefits for federal income tax purposes including: (i) the transfer of the rights under this Financing Order to </w:t>
      </w:r>
      <w:proofErr w:type="spellStart"/>
      <w:r w:rsidRPr="00BD2206">
        <w:t>BondCo</w:t>
      </w:r>
      <w:proofErr w:type="spellEnd"/>
      <w:r w:rsidRPr="00BD2206">
        <w:t xml:space="preserve"> not resulting in gross income to </w:t>
      </w:r>
      <w:r w:rsidR="00DA6854" w:rsidRPr="00BD2206">
        <w:t>AEP Texas</w:t>
      </w:r>
      <w:r w:rsidRPr="00BD2206">
        <w:t xml:space="preserve"> and the future revenues under the </w:t>
      </w:r>
      <w:r w:rsidR="008D502D" w:rsidRPr="00BD2206">
        <w:t xml:space="preserve">system restoration </w:t>
      </w:r>
      <w:r w:rsidRPr="00BD2206">
        <w:t xml:space="preserve">charges being included in </w:t>
      </w:r>
      <w:r w:rsidR="00DA6854" w:rsidRPr="00BD2206">
        <w:t>AEP Texas</w:t>
      </w:r>
      <w:r w:rsidR="00E76934" w:rsidRPr="00BD2206">
        <w:t>’</w:t>
      </w:r>
      <w:r w:rsidRPr="00BD2206">
        <w:t xml:space="preserve"> gross income under its usual method of accounting, (ii) the issuance of the </w:t>
      </w:r>
      <w:r w:rsidR="008D502D" w:rsidRPr="00BD2206">
        <w:t xml:space="preserve">system restoration </w:t>
      </w:r>
      <w:r w:rsidRPr="00BD2206">
        <w:t xml:space="preserve">bonds and the transfer of the proceeds of the </w:t>
      </w:r>
      <w:r w:rsidR="008D502D" w:rsidRPr="00BD2206">
        <w:t xml:space="preserve">system restoration </w:t>
      </w:r>
      <w:r w:rsidRPr="00BD2206">
        <w:t xml:space="preserve">bonds to </w:t>
      </w:r>
      <w:r w:rsidR="00DA6854" w:rsidRPr="00BD2206">
        <w:t>AEP Texas</w:t>
      </w:r>
      <w:r w:rsidRPr="00BD2206">
        <w:t xml:space="preserve"> not resulting in gross income to </w:t>
      </w:r>
      <w:r w:rsidR="00DA6854" w:rsidRPr="00BD2206">
        <w:t>AEP Texas</w:t>
      </w:r>
      <w:r w:rsidRPr="00BD2206">
        <w:t xml:space="preserve">, and (iii) the </w:t>
      </w:r>
      <w:r w:rsidR="008D502D" w:rsidRPr="00BD2206">
        <w:t xml:space="preserve">system restoration </w:t>
      </w:r>
      <w:r w:rsidRPr="00BD2206">
        <w:t xml:space="preserve">bonds constituting obligations of </w:t>
      </w:r>
      <w:r w:rsidR="00DA6854" w:rsidRPr="00BD2206">
        <w:t>AEP Texas</w:t>
      </w:r>
      <w:r w:rsidRPr="00BD2206">
        <w:t>;</w:t>
      </w:r>
      <w:bookmarkEnd w:id="887"/>
    </w:p>
    <w:p w14:paraId="1ED16128" w14:textId="77777777" w:rsidR="003631D6" w:rsidRPr="00BD2206" w:rsidRDefault="003631D6" w:rsidP="005F1EE2">
      <w:pPr>
        <w:pStyle w:val="BodyText"/>
        <w:tabs>
          <w:tab w:val="left" w:pos="1440"/>
        </w:tabs>
        <w:ind w:left="1440" w:hanging="540"/>
      </w:pPr>
      <w:bookmarkStart w:id="888" w:name="_Toc83703868"/>
      <w:r w:rsidRPr="00BD2206">
        <w:t>(f)</w:t>
      </w:r>
      <w:r w:rsidR="005F1EE2" w:rsidRPr="00BD2206">
        <w:tab/>
      </w:r>
      <w:r w:rsidRPr="00BD2206">
        <w:t xml:space="preserve">the </w:t>
      </w:r>
      <w:r w:rsidR="008D502D" w:rsidRPr="00BD2206">
        <w:t xml:space="preserve">system restoration </w:t>
      </w:r>
      <w:r w:rsidRPr="00BD2206">
        <w:t xml:space="preserve">bonds will be marketed using proven underwriting and marketing processes, through which market conditions and investors’ preferences, with regard to the timing of the issuance, the terms and conditions, related maturities, and other aspects of the structuring and pricing will be determined, evaluated and factored into the structuring and pricing of the </w:t>
      </w:r>
      <w:r w:rsidR="008D502D" w:rsidRPr="00BD2206">
        <w:t xml:space="preserve">system restoration </w:t>
      </w:r>
      <w:r w:rsidRPr="00BD2206">
        <w:t>bonds;</w:t>
      </w:r>
      <w:bookmarkEnd w:id="888"/>
      <w:r w:rsidRPr="00BD2206">
        <w:t xml:space="preserve"> and</w:t>
      </w:r>
    </w:p>
    <w:p w14:paraId="6188F2E7" w14:textId="77777777" w:rsidR="003631D6" w:rsidRPr="00BD2206" w:rsidRDefault="005F1EE2" w:rsidP="005F1EE2">
      <w:pPr>
        <w:pStyle w:val="BodyText"/>
        <w:tabs>
          <w:tab w:val="left" w:pos="1440"/>
        </w:tabs>
        <w:ind w:left="1440" w:hanging="540"/>
      </w:pPr>
      <w:bookmarkStart w:id="889" w:name="_Toc83703869"/>
      <w:r w:rsidRPr="00BD2206">
        <w:t>(g)</w:t>
      </w:r>
      <w:r w:rsidRPr="00BD2206">
        <w:tab/>
      </w:r>
      <w:r w:rsidR="003631D6" w:rsidRPr="00BD2206">
        <w:t>furnishing timely information to the Commission</w:t>
      </w:r>
      <w:r w:rsidR="00E76934" w:rsidRPr="00BD2206">
        <w:t>’</w:t>
      </w:r>
      <w:r w:rsidR="003631D6" w:rsidRPr="00BD2206">
        <w:t xml:space="preserve">s designated representative to allow the Commission through the issuance advice letter process to ensure that the structuring and pricing of the </w:t>
      </w:r>
      <w:r w:rsidR="008D502D" w:rsidRPr="00BD2206">
        <w:t xml:space="preserve">system restoration </w:t>
      </w:r>
      <w:r w:rsidR="003631D6" w:rsidRPr="00BD2206">
        <w:t xml:space="preserve">bonds result in the lowest </w:t>
      </w:r>
      <w:r w:rsidR="008D502D" w:rsidRPr="00BD2206">
        <w:t xml:space="preserve">system restoration </w:t>
      </w:r>
      <w:r w:rsidR="003631D6" w:rsidRPr="00BD2206">
        <w:t>bond charges consistent with market conditions and the terms of this Financing Order</w:t>
      </w:r>
      <w:bookmarkStart w:id="890" w:name="_Toc83703870"/>
      <w:bookmarkEnd w:id="889"/>
      <w:r w:rsidR="003631D6" w:rsidRPr="00BD2206">
        <w:t>.</w:t>
      </w:r>
      <w:bookmarkEnd w:id="890"/>
    </w:p>
    <w:p w14:paraId="5DDB6AAC" w14:textId="0B13ADE6" w:rsidR="003631D6" w:rsidRPr="00BD2206" w:rsidRDefault="00DA6854" w:rsidP="003631D6">
      <w:pPr>
        <w:pStyle w:val="FOFNumbered"/>
      </w:pPr>
      <w:bookmarkStart w:id="891" w:name="_Toc83701957"/>
      <w:bookmarkStart w:id="892" w:name="_Toc83703871"/>
      <w:r w:rsidRPr="00BD2206">
        <w:t>AEP Texas</w:t>
      </w:r>
      <w:r w:rsidR="003631D6" w:rsidRPr="00BD2206">
        <w:t xml:space="preserve">’ proposed transaction structure is necessary to enable the </w:t>
      </w:r>
      <w:r w:rsidR="008D502D" w:rsidRPr="00BD2206">
        <w:t xml:space="preserve">system restoration </w:t>
      </w:r>
      <w:r w:rsidR="003631D6" w:rsidRPr="00BD2206">
        <w:t xml:space="preserve">bonds to obtain the highest possible bond credit rating, ensures that the structuring and pricing of the </w:t>
      </w:r>
      <w:r w:rsidR="008D502D" w:rsidRPr="00BD2206">
        <w:t xml:space="preserve">system restoration </w:t>
      </w:r>
      <w:r w:rsidR="003631D6" w:rsidRPr="00BD2206">
        <w:t xml:space="preserve">bonds will result in the lowest </w:t>
      </w:r>
      <w:r w:rsidR="008D502D" w:rsidRPr="00BD2206">
        <w:t xml:space="preserve">system restoration </w:t>
      </w:r>
      <w:r w:rsidR="003631D6" w:rsidRPr="00BD2206">
        <w:t xml:space="preserve">bond charges consistent with market conditions and the terms of this Financing Order, ensures the greatest benefit to </w:t>
      </w:r>
      <w:r w:rsidR="00824E79" w:rsidRPr="00BD2206">
        <w:t xml:space="preserve">ratepayers </w:t>
      </w:r>
      <w:r w:rsidR="003631D6" w:rsidRPr="00BD2206">
        <w:t>consistent with market conditions and the terms of this Financing Order, and protects the competitiveness of the retail electric market.</w:t>
      </w:r>
      <w:bookmarkEnd w:id="891"/>
      <w:bookmarkEnd w:id="892"/>
    </w:p>
    <w:p w14:paraId="459831C2" w14:textId="7B76E8F7" w:rsidR="003631D6" w:rsidRPr="00BD2206" w:rsidRDefault="003631D6" w:rsidP="003631D6">
      <w:pPr>
        <w:pStyle w:val="FOFNumbered"/>
      </w:pPr>
      <w:bookmarkStart w:id="893" w:name="_Toc83701958"/>
      <w:bookmarkStart w:id="894" w:name="_Toc83703872"/>
      <w:r w:rsidRPr="00BD2206">
        <w:t xml:space="preserve">To ensure that </w:t>
      </w:r>
      <w:r w:rsidR="00824E79" w:rsidRPr="00BD2206">
        <w:t xml:space="preserve">ratepayers </w:t>
      </w:r>
      <w:r w:rsidRPr="00BD2206">
        <w:t xml:space="preserve">receive the tangible and quantifiable economic benefits due from the proposed securitization and so that the proposed </w:t>
      </w:r>
      <w:r w:rsidR="008D502D" w:rsidRPr="00BD2206">
        <w:t xml:space="preserve">system restoration </w:t>
      </w:r>
      <w:r w:rsidRPr="00BD2206">
        <w:t>bond transaction will be consistent with the standards set forth in PURA §§ </w:t>
      </w:r>
      <w:r w:rsidR="008D502D" w:rsidRPr="00BD2206">
        <w:t xml:space="preserve">36.401, 36.403, </w:t>
      </w:r>
      <w:r w:rsidRPr="00BD2206">
        <w:t>39.301 and 39.303, it is necessary that (i) the issuance advice letter demonstrates that the transaction is expected to provide benefits to customers on both the total revenue (</w:t>
      </w:r>
      <w:r w:rsidRPr="00BD2206">
        <w:rPr>
          <w:i/>
        </w:rPr>
        <w:t>i.e</w:t>
      </w:r>
      <w:r w:rsidRPr="00BD2206">
        <w:t xml:space="preserve">., nominal) and present value bases compared to collection of the securitized balance through </w:t>
      </w:r>
      <w:r w:rsidR="008D502D" w:rsidRPr="00BD2206">
        <w:t>conventional</w:t>
      </w:r>
      <w:r w:rsidRPr="00BD2206">
        <w:t xml:space="preserve"> </w:t>
      </w:r>
      <w:r w:rsidR="008D502D" w:rsidRPr="00BD2206">
        <w:t>financing</w:t>
      </w:r>
      <w:r w:rsidRPr="00BD2206">
        <w:t xml:space="preserve">; (ii) the </w:t>
      </w:r>
      <w:r w:rsidR="00272803" w:rsidRPr="00BD2206">
        <w:t xml:space="preserve">scheduled </w:t>
      </w:r>
      <w:r w:rsidRPr="00BD2206">
        <w:t xml:space="preserve">final </w:t>
      </w:r>
      <w:r w:rsidR="00410FBD" w:rsidRPr="00BD2206">
        <w:t xml:space="preserve">payment </w:t>
      </w:r>
      <w:r w:rsidRPr="00BD2206">
        <w:t xml:space="preserve">of the last tranche of </w:t>
      </w:r>
      <w:r w:rsidR="004100A4" w:rsidRPr="00BD2206">
        <w:t xml:space="preserve">system restoration </w:t>
      </w:r>
      <w:r w:rsidRPr="00BD2206">
        <w:t xml:space="preserve">bonds </w:t>
      </w:r>
      <w:r w:rsidR="0002201C" w:rsidRPr="00BD2206">
        <w:t xml:space="preserve">will </w:t>
      </w:r>
      <w:r w:rsidRPr="00BD2206">
        <w:t xml:space="preserve">not exceed 14 years (although the legal final maturity of the </w:t>
      </w:r>
      <w:r w:rsidR="008D502D" w:rsidRPr="00BD2206">
        <w:t xml:space="preserve">system restoration </w:t>
      </w:r>
      <w:r w:rsidRPr="00BD2206">
        <w:t xml:space="preserve">bonds may extend to 15 years), (iii) the amortization of the </w:t>
      </w:r>
      <w:r w:rsidR="008D502D" w:rsidRPr="00BD2206">
        <w:t xml:space="preserve">system restoration </w:t>
      </w:r>
      <w:r w:rsidRPr="00BD2206">
        <w:t>bonds is structured to be consistent with Finding</w:t>
      </w:r>
      <w:r w:rsidR="007F5B16" w:rsidRPr="00BD2206">
        <w:t>s</w:t>
      </w:r>
      <w:r w:rsidRPr="00BD2206">
        <w:t xml:space="preserve"> of Fact No. 5</w:t>
      </w:r>
      <w:r w:rsidR="00272803" w:rsidRPr="00BD2206">
        <w:t>6</w:t>
      </w:r>
      <w:r w:rsidR="007F5B16" w:rsidRPr="00BD2206">
        <w:t xml:space="preserve"> and 57</w:t>
      </w:r>
      <w:r w:rsidRPr="00BD2206">
        <w:t xml:space="preserve">, and (iv) </w:t>
      </w:r>
      <w:r w:rsidR="00DA6854" w:rsidRPr="00BD2206">
        <w:t>AEP Texas</w:t>
      </w:r>
      <w:r w:rsidRPr="00BD2206">
        <w:t xml:space="preserve"> otherwise satisfies the requirements of this Financing Order.</w:t>
      </w:r>
      <w:bookmarkStart w:id="895" w:name="_Ref484374167"/>
      <w:bookmarkStart w:id="896" w:name="_Toc83701959"/>
      <w:bookmarkStart w:id="897" w:name="_Toc83703873"/>
      <w:bookmarkEnd w:id="893"/>
      <w:bookmarkEnd w:id="894"/>
    </w:p>
    <w:p w14:paraId="7AB9C12E" w14:textId="74903830" w:rsidR="003631D6" w:rsidRPr="00BD2206" w:rsidRDefault="003631D6" w:rsidP="003631D6">
      <w:pPr>
        <w:pStyle w:val="FOFNumbered"/>
      </w:pPr>
      <w:bookmarkStart w:id="898" w:name="_Ref138485775"/>
      <w:r w:rsidRPr="00BD2206">
        <w:t xml:space="preserve">To allow the Commission to fulfill its obligations under PURA related to the securitization approved in this Financing Order, it is necessary for </w:t>
      </w:r>
      <w:r w:rsidR="00DA6854" w:rsidRPr="00BD2206">
        <w:t>AEP Texas</w:t>
      </w:r>
      <w:r w:rsidRPr="00BD2206">
        <w:t xml:space="preserve">, for each series of </w:t>
      </w:r>
      <w:r w:rsidR="0058208E" w:rsidRPr="00BD2206">
        <w:t xml:space="preserve">system restoration </w:t>
      </w:r>
      <w:r w:rsidRPr="00BD2206">
        <w:t xml:space="preserve">bonds issued, to certify to the Commission that the structure and pricing of that series results in the lowest </w:t>
      </w:r>
      <w:r w:rsidR="0058208E" w:rsidRPr="00BD2206">
        <w:t xml:space="preserve">system restoration </w:t>
      </w:r>
      <w:r w:rsidRPr="00BD2206">
        <w:t xml:space="preserve">bond charges consistent with market conditions at the time that the </w:t>
      </w:r>
      <w:r w:rsidR="0058208E" w:rsidRPr="00BD2206">
        <w:t xml:space="preserve">system restoration </w:t>
      </w:r>
      <w:r w:rsidRPr="00BD2206">
        <w:t>bonds are priced and the terms (including the specified amortization pattern) of this Financing Order and, if additional credit enhancements or arrangements to enhance marketability or reduce interest rate risks were used, to certify that they are expected to provide benefits in excess of their cost as required by Finding of Fact No. </w:t>
      </w:r>
      <w:r w:rsidRPr="00BD2206">
        <w:fldChar w:fldCharType="begin"/>
      </w:r>
      <w:r w:rsidRPr="00BD2206">
        <w:instrText xml:space="preserve"> REF _Ref138485303 \r \h </w:instrText>
      </w:r>
      <w:r w:rsidR="0058208E" w:rsidRPr="00BD2206">
        <w:instrText xml:space="preserve"> \* MERGEFORMAT </w:instrText>
      </w:r>
      <w:r w:rsidRPr="00BD2206">
        <w:fldChar w:fldCharType="separate"/>
      </w:r>
      <w:r w:rsidR="006043CC">
        <w:t>28</w:t>
      </w:r>
      <w:r w:rsidRPr="00BD2206">
        <w:fldChar w:fldCharType="end"/>
      </w:r>
      <w:r w:rsidRPr="00BD2206">
        <w:t xml:space="preserve"> through </w:t>
      </w:r>
      <w:r w:rsidRPr="00BD2206">
        <w:fldChar w:fldCharType="begin"/>
      </w:r>
      <w:r w:rsidRPr="00BD2206">
        <w:instrText xml:space="preserve"> REF _Ref138485316 \r \h </w:instrText>
      </w:r>
      <w:r w:rsidR="0058208E" w:rsidRPr="00BD2206">
        <w:instrText xml:space="preserve"> \* MERGEFORMAT </w:instrText>
      </w:r>
      <w:r w:rsidRPr="00BD2206">
        <w:fldChar w:fldCharType="separate"/>
      </w:r>
      <w:r w:rsidR="006043CC">
        <w:t>31</w:t>
      </w:r>
      <w:r w:rsidRPr="00BD2206">
        <w:fldChar w:fldCharType="end"/>
      </w:r>
      <w:r w:rsidRPr="00BD2206">
        <w:t xml:space="preserve"> of this Financing Order.</w:t>
      </w:r>
      <w:bookmarkEnd w:id="895"/>
      <w:bookmarkEnd w:id="896"/>
      <w:bookmarkEnd w:id="897"/>
      <w:bookmarkEnd w:id="898"/>
    </w:p>
    <w:p w14:paraId="4334FC85" w14:textId="77777777" w:rsidR="003631D6" w:rsidRPr="00BD2206" w:rsidRDefault="005F1EE2" w:rsidP="005F1EE2">
      <w:pPr>
        <w:pStyle w:val="Heading2"/>
      </w:pPr>
      <w:bookmarkStart w:id="899" w:name="_Toc88378162"/>
      <w:bookmarkStart w:id="900" w:name="_Toc88379134"/>
      <w:bookmarkStart w:id="901" w:name="_Toc88379356"/>
      <w:bookmarkStart w:id="902" w:name="_Toc88379576"/>
      <w:bookmarkStart w:id="903" w:name="_Toc88379794"/>
      <w:bookmarkStart w:id="904" w:name="_Toc88379982"/>
      <w:bookmarkStart w:id="905" w:name="_Toc88380160"/>
      <w:bookmarkStart w:id="906" w:name="_Toc88380290"/>
      <w:bookmarkStart w:id="907" w:name="_Toc88380452"/>
      <w:bookmarkStart w:id="908" w:name="_Toc88380544"/>
      <w:bookmarkStart w:id="909" w:name="_Toc88380636"/>
      <w:bookmarkStart w:id="910" w:name="_Toc97535683"/>
      <w:bookmarkStart w:id="911" w:name="_Toc158028417"/>
      <w:bookmarkStart w:id="912" w:name="_Toc177539467"/>
      <w:r w:rsidRPr="00BD2206">
        <w:t xml:space="preserve">  </w:t>
      </w:r>
      <w:bookmarkStart w:id="913" w:name="_Toc2778516"/>
      <w:r w:rsidR="003631D6" w:rsidRPr="00BD2206">
        <w:t>Use of Proceeds</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21ECD2A6" w14:textId="64CEB481" w:rsidR="00946BC2" w:rsidRPr="00BD2206" w:rsidRDefault="003631D6" w:rsidP="00C15FDF">
      <w:pPr>
        <w:pStyle w:val="FOFNumbered"/>
      </w:pPr>
      <w:bookmarkStart w:id="914" w:name="_Toc83701960"/>
      <w:bookmarkStart w:id="915" w:name="_Toc83703874"/>
      <w:bookmarkStart w:id="916" w:name="_Ref138485354"/>
      <w:r w:rsidRPr="00BD2206">
        <w:t xml:space="preserve">Upon the issuance of </w:t>
      </w:r>
      <w:r w:rsidR="0058208E" w:rsidRPr="00BD2206">
        <w:t xml:space="preserve">system restoration </w:t>
      </w:r>
      <w:r w:rsidRPr="00BD2206">
        <w:t xml:space="preserve">bonds, </w:t>
      </w:r>
      <w:proofErr w:type="spellStart"/>
      <w:r w:rsidRPr="00BD2206">
        <w:t>BondCo</w:t>
      </w:r>
      <w:proofErr w:type="spellEnd"/>
      <w:r w:rsidRPr="00BD2206">
        <w:t xml:space="preserve"> will use the net proceeds from the sale of the </w:t>
      </w:r>
      <w:r w:rsidR="0058208E" w:rsidRPr="00BD2206">
        <w:t xml:space="preserve">system restoration </w:t>
      </w:r>
      <w:r w:rsidRPr="00BD2206">
        <w:t xml:space="preserve">bonds (after payment of </w:t>
      </w:r>
      <w:r w:rsidR="00953BC7" w:rsidRPr="00BD2206">
        <w:t>up</w:t>
      </w:r>
      <w:r w:rsidR="00CA24F5" w:rsidRPr="00BD2206">
        <w:t>-</w:t>
      </w:r>
      <w:r w:rsidR="00953BC7" w:rsidRPr="00BD2206">
        <w:t xml:space="preserve">front qualified </w:t>
      </w:r>
      <w:r w:rsidRPr="00BD2206">
        <w:t xml:space="preserve">costs) to pay to </w:t>
      </w:r>
      <w:r w:rsidR="00DA6854" w:rsidRPr="00BD2206">
        <w:t>AEP Texas</w:t>
      </w:r>
      <w:r w:rsidRPr="00BD2206">
        <w:t xml:space="preserve"> the purchase price of the transition property.</w:t>
      </w:r>
      <w:bookmarkStart w:id="917" w:name="_Ref138485366"/>
      <w:bookmarkEnd w:id="914"/>
      <w:bookmarkEnd w:id="915"/>
      <w:bookmarkEnd w:id="916"/>
      <w:r w:rsidR="00946BC2" w:rsidRPr="00BD2206">
        <w:t xml:space="preserve">  </w:t>
      </w:r>
      <w:r w:rsidR="0058208E" w:rsidRPr="00BD2206">
        <w:t>The proceeds from the sale of the transition property will be applied by AEP Texas to reduce its recoverable system restoration costs.  The proposed accounting entries will result in removal of the regulatory asset representing the distribution portion of recoverable system restoration costs from AEP Texas’ books.</w:t>
      </w:r>
      <w:r w:rsidR="002A1F6E" w:rsidRPr="00BD2206">
        <w:t xml:space="preserve">  </w:t>
      </w:r>
      <w:r w:rsidR="003651C5" w:rsidRPr="00BD2206">
        <w:t>Thereafter, b</w:t>
      </w:r>
      <w:r w:rsidR="002A1F6E" w:rsidRPr="00BD2206">
        <w:t>ond proceeds will be used to repay any outstanding short-term debt at AEP Texas and to fund capital expenditures to support utility operations and services.</w:t>
      </w:r>
      <w:r w:rsidR="0058208E" w:rsidRPr="00BD2206">
        <w:t xml:space="preserve">  The specific application of the proceeds will be determined by market conditions and the company’s expected future expenditures at the time the proceeds are received.  </w:t>
      </w:r>
      <w:bookmarkStart w:id="918" w:name="_Toc88378163"/>
      <w:bookmarkStart w:id="919" w:name="_Toc88379135"/>
      <w:bookmarkStart w:id="920" w:name="_Toc88379357"/>
      <w:bookmarkStart w:id="921" w:name="_Toc88379577"/>
      <w:bookmarkStart w:id="922" w:name="_Toc88379795"/>
      <w:bookmarkStart w:id="923" w:name="_Toc88379983"/>
      <w:bookmarkStart w:id="924" w:name="_Toc88380161"/>
      <w:bookmarkStart w:id="925" w:name="_Toc88380291"/>
      <w:bookmarkStart w:id="926" w:name="_Toc88380453"/>
      <w:bookmarkStart w:id="927" w:name="_Toc88380545"/>
      <w:bookmarkStart w:id="928" w:name="_Toc88380637"/>
      <w:bookmarkStart w:id="929" w:name="_Toc97535684"/>
      <w:bookmarkEnd w:id="917"/>
      <w:r w:rsidR="005F1EE2" w:rsidRPr="00BD2206">
        <w:t xml:space="preserve">  </w:t>
      </w:r>
    </w:p>
    <w:p w14:paraId="1C62F077" w14:textId="4530CEF3" w:rsidR="003631D6" w:rsidRPr="00BD2206" w:rsidRDefault="00F56DCC" w:rsidP="00946BC2">
      <w:pPr>
        <w:pStyle w:val="Heading1"/>
      </w:pPr>
      <w:bookmarkStart w:id="930" w:name="_Toc2778517"/>
      <w:r w:rsidRPr="00BD2206">
        <w:t xml:space="preserve">Conclusions </w:t>
      </w:r>
      <w:r w:rsidR="00160493" w:rsidRPr="00BD2206">
        <w:t>of</w:t>
      </w:r>
      <w:r w:rsidRPr="00BD2206">
        <w:t xml:space="preserve"> Law</w:t>
      </w:r>
      <w:bookmarkEnd w:id="918"/>
      <w:bookmarkEnd w:id="919"/>
      <w:bookmarkEnd w:id="920"/>
      <w:bookmarkEnd w:id="921"/>
      <w:bookmarkEnd w:id="922"/>
      <w:bookmarkEnd w:id="923"/>
      <w:bookmarkEnd w:id="924"/>
      <w:bookmarkEnd w:id="925"/>
      <w:bookmarkEnd w:id="926"/>
      <w:bookmarkEnd w:id="927"/>
      <w:bookmarkEnd w:id="928"/>
      <w:bookmarkEnd w:id="929"/>
      <w:bookmarkEnd w:id="930"/>
    </w:p>
    <w:p w14:paraId="1AAFC260" w14:textId="77777777" w:rsidR="003631D6" w:rsidRPr="00BD2206" w:rsidRDefault="00DA6854" w:rsidP="003631D6">
      <w:pPr>
        <w:pStyle w:val="COLNumbered"/>
      </w:pPr>
      <w:bookmarkStart w:id="931" w:name="_Toc83702554"/>
      <w:bookmarkStart w:id="932" w:name="_Toc83702999"/>
      <w:bookmarkStart w:id="933" w:name="_Toc83703878"/>
      <w:bookmarkStart w:id="934" w:name="_Toc83704136"/>
      <w:bookmarkStart w:id="935" w:name="_Toc83704462"/>
      <w:r w:rsidRPr="00BD2206">
        <w:t>AEP Texas</w:t>
      </w:r>
      <w:r w:rsidR="003631D6" w:rsidRPr="00BD2206">
        <w:t xml:space="preserve"> is a public utility, as defined in PURA § 11.004, an electric utility, as defined in PURA § 31.002(6), and a transmission and distribution utility as defined in PURA § 31.002(19).</w:t>
      </w:r>
      <w:bookmarkEnd w:id="931"/>
      <w:bookmarkEnd w:id="932"/>
      <w:bookmarkEnd w:id="933"/>
      <w:bookmarkEnd w:id="934"/>
      <w:bookmarkEnd w:id="935"/>
    </w:p>
    <w:p w14:paraId="63C098BE" w14:textId="77777777" w:rsidR="003631D6" w:rsidRPr="00BD2206" w:rsidRDefault="00DA6854" w:rsidP="003631D6">
      <w:pPr>
        <w:pStyle w:val="COLNumbered"/>
      </w:pPr>
      <w:bookmarkStart w:id="936" w:name="_Toc83702555"/>
      <w:bookmarkStart w:id="937" w:name="_Toc83703000"/>
      <w:bookmarkStart w:id="938" w:name="_Toc83703879"/>
      <w:bookmarkStart w:id="939" w:name="_Toc83704137"/>
      <w:bookmarkStart w:id="940" w:name="_Toc83704463"/>
      <w:r w:rsidRPr="00BD2206">
        <w:t>AEP Texas</w:t>
      </w:r>
      <w:r w:rsidR="003631D6" w:rsidRPr="00BD2206">
        <w:t xml:space="preserve"> is entitled to file an application for a financing order under PURA § 3</w:t>
      </w:r>
      <w:r w:rsidR="006964AB" w:rsidRPr="00BD2206">
        <w:t>6</w:t>
      </w:r>
      <w:r w:rsidR="003631D6" w:rsidRPr="00BD2206">
        <w:t>.</w:t>
      </w:r>
      <w:r w:rsidR="006964AB" w:rsidRPr="00BD2206">
        <w:t>4</w:t>
      </w:r>
      <w:r w:rsidR="003631D6" w:rsidRPr="00BD2206">
        <w:t>01.</w:t>
      </w:r>
      <w:bookmarkEnd w:id="936"/>
      <w:bookmarkEnd w:id="937"/>
      <w:bookmarkEnd w:id="938"/>
      <w:bookmarkEnd w:id="939"/>
      <w:bookmarkEnd w:id="940"/>
    </w:p>
    <w:p w14:paraId="6EB08FE1" w14:textId="3928D618" w:rsidR="003631D6" w:rsidRPr="00BD2206" w:rsidRDefault="003631D6" w:rsidP="003631D6">
      <w:pPr>
        <w:pStyle w:val="COLNumbered"/>
      </w:pPr>
      <w:bookmarkStart w:id="941" w:name="_Toc83702556"/>
      <w:bookmarkStart w:id="942" w:name="_Toc83703001"/>
      <w:bookmarkStart w:id="943" w:name="_Toc83703880"/>
      <w:bookmarkStart w:id="944" w:name="_Toc83704138"/>
      <w:bookmarkStart w:id="945" w:name="_Toc83704464"/>
      <w:r w:rsidRPr="00BD2206">
        <w:t xml:space="preserve">The Commission has jurisdiction and authority over </w:t>
      </w:r>
      <w:r w:rsidR="00DA6854" w:rsidRPr="00BD2206">
        <w:t>AEP Texas</w:t>
      </w:r>
      <w:r w:rsidR="00E76934" w:rsidRPr="00BD2206">
        <w:t>’</w:t>
      </w:r>
      <w:r w:rsidRPr="00BD2206">
        <w:t xml:space="preserve"> application pursuant to PURA §§ 14.001, 32.001, </w:t>
      </w:r>
      <w:r w:rsidR="006964AB" w:rsidRPr="00BD2206">
        <w:t>36.401–36.406,</w:t>
      </w:r>
      <w:r w:rsidRPr="00BD2206">
        <w:t xml:space="preserve"> and 39.301-.313.</w:t>
      </w:r>
      <w:bookmarkEnd w:id="941"/>
      <w:bookmarkEnd w:id="942"/>
      <w:bookmarkEnd w:id="943"/>
      <w:bookmarkEnd w:id="944"/>
      <w:bookmarkEnd w:id="945"/>
    </w:p>
    <w:p w14:paraId="068CA94C" w14:textId="77777777" w:rsidR="003631D6" w:rsidRPr="00BD2206" w:rsidRDefault="003631D6" w:rsidP="003631D6">
      <w:pPr>
        <w:pStyle w:val="COLNumbered"/>
      </w:pPr>
      <w:bookmarkStart w:id="946" w:name="_Toc83702557"/>
      <w:bookmarkStart w:id="947" w:name="_Toc83703002"/>
      <w:bookmarkStart w:id="948" w:name="_Toc83703881"/>
      <w:bookmarkStart w:id="949" w:name="_Toc83704139"/>
      <w:bookmarkStart w:id="950" w:name="_Toc83704465"/>
      <w:r w:rsidRPr="00BD2206">
        <w:t>The Commission has authority to approve this Financing Order under Subchapter</w:t>
      </w:r>
      <w:r w:rsidR="006964AB" w:rsidRPr="00BD2206">
        <w:t xml:space="preserve"> I of Chapter 36 and Subchapter</w:t>
      </w:r>
      <w:r w:rsidRPr="00BD2206">
        <w:t xml:space="preserve"> G of Chapter 39 of PURA.</w:t>
      </w:r>
      <w:bookmarkEnd w:id="946"/>
      <w:bookmarkEnd w:id="947"/>
      <w:bookmarkEnd w:id="948"/>
      <w:bookmarkEnd w:id="949"/>
      <w:bookmarkEnd w:id="950"/>
    </w:p>
    <w:p w14:paraId="5D477424" w14:textId="77777777" w:rsidR="003631D6" w:rsidRPr="00BD2206" w:rsidRDefault="003631D6" w:rsidP="003631D6">
      <w:pPr>
        <w:pStyle w:val="COLNumbered"/>
      </w:pPr>
      <w:bookmarkStart w:id="951" w:name="_Toc83702558"/>
      <w:bookmarkStart w:id="952" w:name="_Toc83703003"/>
      <w:bookmarkStart w:id="953" w:name="_Toc83703882"/>
      <w:bookmarkStart w:id="954" w:name="_Toc83704140"/>
      <w:bookmarkStart w:id="955" w:name="_Toc83704466"/>
      <w:r w:rsidRPr="00BD2206">
        <w:t xml:space="preserve">Notice of </w:t>
      </w:r>
      <w:r w:rsidR="00DA6854" w:rsidRPr="00BD2206">
        <w:t>AEP Texas</w:t>
      </w:r>
      <w:r w:rsidR="00E76934" w:rsidRPr="00BD2206">
        <w:t>’</w:t>
      </w:r>
      <w:r w:rsidRPr="00BD2206">
        <w:t xml:space="preserve"> application was provided in compliance with the Administrative Procedure Act</w:t>
      </w:r>
      <w:r w:rsidRPr="00BD2206">
        <w:rPr>
          <w:rStyle w:val="FootnoteReference"/>
        </w:rPr>
        <w:footnoteReference w:id="64"/>
      </w:r>
      <w:r w:rsidRPr="00BD2206">
        <w:t xml:space="preserve"> and </w:t>
      </w:r>
      <w:r w:rsidRPr="00BD2206">
        <w:rPr>
          <w:smallCaps/>
        </w:rPr>
        <w:t>P.U.C. Proc. R.</w:t>
      </w:r>
      <w:r w:rsidRPr="00BD2206">
        <w:t xml:space="preserve"> 22.54 and 22.55.</w:t>
      </w:r>
      <w:bookmarkEnd w:id="951"/>
      <w:bookmarkEnd w:id="952"/>
      <w:bookmarkEnd w:id="953"/>
      <w:bookmarkEnd w:id="954"/>
      <w:bookmarkEnd w:id="955"/>
    </w:p>
    <w:p w14:paraId="193F7760" w14:textId="77777777" w:rsidR="003631D6" w:rsidRPr="00BD2206" w:rsidRDefault="003631D6" w:rsidP="003631D6">
      <w:pPr>
        <w:pStyle w:val="COLNumbered"/>
      </w:pPr>
      <w:bookmarkStart w:id="956" w:name="_Toc83702559"/>
      <w:bookmarkStart w:id="957" w:name="_Toc83703004"/>
      <w:bookmarkStart w:id="958" w:name="_Toc83703883"/>
      <w:bookmarkStart w:id="959" w:name="_Toc83704141"/>
      <w:bookmarkStart w:id="960" w:name="_Toc83704467"/>
      <w:r w:rsidRPr="00BD2206">
        <w:t xml:space="preserve">This application does not constitute a major rate proceeding as defined by P.U.C. </w:t>
      </w:r>
      <w:r w:rsidRPr="00BD2206">
        <w:rPr>
          <w:smallCaps/>
        </w:rPr>
        <w:t>Proc. R.</w:t>
      </w:r>
      <w:r w:rsidRPr="00BD2206">
        <w:t xml:space="preserve"> 22.2.</w:t>
      </w:r>
      <w:bookmarkEnd w:id="956"/>
      <w:bookmarkEnd w:id="957"/>
      <w:bookmarkEnd w:id="958"/>
      <w:bookmarkEnd w:id="959"/>
      <w:bookmarkEnd w:id="960"/>
    </w:p>
    <w:p w14:paraId="32D35FBD" w14:textId="77777777" w:rsidR="00F436CC" w:rsidRPr="00BD2206" w:rsidRDefault="00F436CC" w:rsidP="003631D6">
      <w:pPr>
        <w:pStyle w:val="COLNumbered"/>
      </w:pPr>
      <w:r w:rsidRPr="00BD2206">
        <w:t>Subchapter I of Chapter 36 of PURA allows an electric utility to securitize its system restoration costs as determined in separate proceedings under that Subchapter.</w:t>
      </w:r>
    </w:p>
    <w:p w14:paraId="720CA289" w14:textId="36AC1BF0" w:rsidR="003631D6" w:rsidRPr="00BD2206" w:rsidRDefault="003631D6" w:rsidP="003631D6">
      <w:pPr>
        <w:pStyle w:val="COLNumbered"/>
      </w:pPr>
      <w:bookmarkStart w:id="961" w:name="_Toc83702561"/>
      <w:bookmarkStart w:id="962" w:name="_Toc83703006"/>
      <w:bookmarkStart w:id="963" w:name="_Toc83703885"/>
      <w:bookmarkStart w:id="964" w:name="_Toc83704143"/>
      <w:bookmarkStart w:id="965" w:name="_Toc83704469"/>
      <w:proofErr w:type="spellStart"/>
      <w:r w:rsidRPr="00BD2206">
        <w:t>BondCo</w:t>
      </w:r>
      <w:proofErr w:type="spellEnd"/>
      <w:r w:rsidRPr="00BD2206">
        <w:t xml:space="preserve"> will be an assignee as defined in PURA § 39.302(1) when an interest in </w:t>
      </w:r>
      <w:r w:rsidR="002A136F" w:rsidRPr="00BD2206">
        <w:t xml:space="preserve">the </w:t>
      </w:r>
      <w:r w:rsidRPr="00BD2206">
        <w:t>transition property</w:t>
      </w:r>
      <w:r w:rsidR="002A136F" w:rsidRPr="00BD2206">
        <w:t xml:space="preserve"> created under this Financing Order</w:t>
      </w:r>
      <w:r w:rsidRPr="00BD2206">
        <w:t xml:space="preserve"> is transferred, other than as security, to </w:t>
      </w:r>
      <w:proofErr w:type="spellStart"/>
      <w:r w:rsidRPr="00BD2206">
        <w:t>BondCo</w:t>
      </w:r>
      <w:proofErr w:type="spellEnd"/>
      <w:r w:rsidRPr="00BD2206">
        <w:t>.</w:t>
      </w:r>
      <w:bookmarkEnd w:id="961"/>
      <w:bookmarkEnd w:id="962"/>
      <w:bookmarkEnd w:id="963"/>
      <w:bookmarkEnd w:id="964"/>
      <w:bookmarkEnd w:id="965"/>
    </w:p>
    <w:p w14:paraId="69C4498B" w14:textId="77777777" w:rsidR="003631D6" w:rsidRPr="00BD2206" w:rsidRDefault="003631D6" w:rsidP="003631D6">
      <w:pPr>
        <w:pStyle w:val="COLNumbered"/>
      </w:pPr>
      <w:bookmarkStart w:id="966" w:name="_Toc83702562"/>
      <w:bookmarkStart w:id="967" w:name="_Toc83703007"/>
      <w:bookmarkStart w:id="968" w:name="_Toc83703886"/>
      <w:bookmarkStart w:id="969" w:name="_Toc83704144"/>
      <w:bookmarkStart w:id="970" w:name="_Toc83704470"/>
      <w:r w:rsidRPr="00BD2206">
        <w:t xml:space="preserve">The holders of the </w:t>
      </w:r>
      <w:r w:rsidR="00F436CC" w:rsidRPr="00BD2206">
        <w:t xml:space="preserve">system restoration </w:t>
      </w:r>
      <w:r w:rsidRPr="00BD2206">
        <w:t>bonds and the indenture trustee will each be a financing party as defined in PURA § 39.302(3).</w:t>
      </w:r>
      <w:bookmarkEnd w:id="966"/>
      <w:bookmarkEnd w:id="967"/>
      <w:bookmarkEnd w:id="968"/>
      <w:bookmarkEnd w:id="969"/>
      <w:bookmarkEnd w:id="970"/>
    </w:p>
    <w:p w14:paraId="2A46495E" w14:textId="77777777" w:rsidR="003631D6" w:rsidRPr="00BD2206" w:rsidRDefault="003631D6" w:rsidP="003631D6">
      <w:pPr>
        <w:pStyle w:val="COLNumbered"/>
      </w:pPr>
      <w:bookmarkStart w:id="971" w:name="_Toc83702563"/>
      <w:bookmarkStart w:id="972" w:name="_Toc83703008"/>
      <w:bookmarkStart w:id="973" w:name="_Toc83703887"/>
      <w:bookmarkStart w:id="974" w:name="_Toc83704145"/>
      <w:bookmarkStart w:id="975" w:name="_Toc83704471"/>
      <w:proofErr w:type="spellStart"/>
      <w:r w:rsidRPr="00BD2206">
        <w:t>BondCo</w:t>
      </w:r>
      <w:proofErr w:type="spellEnd"/>
      <w:r w:rsidRPr="00BD2206">
        <w:t xml:space="preserve"> may issue </w:t>
      </w:r>
      <w:r w:rsidR="00F436CC" w:rsidRPr="00BD2206">
        <w:t xml:space="preserve">system restoration </w:t>
      </w:r>
      <w:r w:rsidRPr="00BD2206">
        <w:t>bonds in accordance with this Financing Order.</w:t>
      </w:r>
      <w:bookmarkStart w:id="976" w:name="_Toc83702564"/>
      <w:bookmarkStart w:id="977" w:name="_Toc83703009"/>
      <w:bookmarkStart w:id="978" w:name="_Toc83703888"/>
      <w:bookmarkStart w:id="979" w:name="_Toc83704146"/>
      <w:bookmarkStart w:id="980" w:name="_Toc83704472"/>
      <w:bookmarkEnd w:id="971"/>
      <w:bookmarkEnd w:id="972"/>
      <w:bookmarkEnd w:id="973"/>
      <w:bookmarkEnd w:id="974"/>
      <w:bookmarkEnd w:id="975"/>
    </w:p>
    <w:p w14:paraId="657955E4" w14:textId="77777777" w:rsidR="003631D6" w:rsidRPr="00BD2206" w:rsidRDefault="00F436CC" w:rsidP="003631D6">
      <w:pPr>
        <w:pStyle w:val="COLNumbered"/>
      </w:pPr>
      <w:r w:rsidRPr="00BD2206">
        <w:t>The securitization approved in this Financing Order results in the removal of the regulatory asset representing the distribution-related portion of system restoration costs from AEP Texas’ books and satisfies the requirement of PURA § 36.401(a) dictating that the proceeds of the system restoration bonds shall be used solely for the purposes of reducing the amount of recoverable system restoration costs, including the refinancing or retirement of utility debt or equity</w:t>
      </w:r>
      <w:r w:rsidR="003631D6" w:rsidRPr="00BD2206">
        <w:t>.</w:t>
      </w:r>
      <w:bookmarkStart w:id="981" w:name="_Toc83702565"/>
      <w:bookmarkStart w:id="982" w:name="_Toc83703010"/>
      <w:bookmarkStart w:id="983" w:name="_Toc83703889"/>
      <w:bookmarkStart w:id="984" w:name="_Toc83704147"/>
      <w:bookmarkStart w:id="985" w:name="_Toc83704473"/>
      <w:bookmarkEnd w:id="976"/>
      <w:bookmarkEnd w:id="977"/>
      <w:bookmarkEnd w:id="978"/>
      <w:bookmarkEnd w:id="979"/>
      <w:bookmarkEnd w:id="980"/>
    </w:p>
    <w:p w14:paraId="7AE0F540" w14:textId="77777777" w:rsidR="003631D6" w:rsidRPr="00BD2206" w:rsidRDefault="003631D6" w:rsidP="003631D6">
      <w:pPr>
        <w:pStyle w:val="COLNumbered"/>
      </w:pPr>
      <w:r w:rsidRPr="00BD2206">
        <w:t>The securitization approved in this Financing Order satisfies the requirement of PURA § </w:t>
      </w:r>
      <w:r w:rsidR="00F436CC" w:rsidRPr="00BD2206">
        <w:t>36.401(b)(2)</w:t>
      </w:r>
      <w:r w:rsidRPr="00BD2206">
        <w:t xml:space="preserve"> mandating that the securitization provides tangible and quantifiable benefits to ratepayers greater than would have been achieved absent the issuance of </w:t>
      </w:r>
      <w:r w:rsidR="00F436CC" w:rsidRPr="00BD2206">
        <w:t xml:space="preserve">system restoration </w:t>
      </w:r>
      <w:r w:rsidRPr="00BD2206">
        <w:t>bonds.  Consistent with fundamental financial principles, this requirement in PURA § 3</w:t>
      </w:r>
      <w:r w:rsidR="000B2055" w:rsidRPr="00BD2206">
        <w:t>6</w:t>
      </w:r>
      <w:r w:rsidRPr="00BD2206">
        <w:t>.</w:t>
      </w:r>
      <w:r w:rsidR="00F436CC" w:rsidRPr="00BD2206">
        <w:t>4</w:t>
      </w:r>
      <w:r w:rsidRPr="00BD2206">
        <w:t xml:space="preserve">01 can only be determined using an economic analysis to account for the time value of money.  An analysis that compares in the aggregate over the expected life of the </w:t>
      </w:r>
      <w:r w:rsidR="00F436CC" w:rsidRPr="00BD2206">
        <w:t xml:space="preserve">system restoration </w:t>
      </w:r>
      <w:r w:rsidRPr="00BD2206">
        <w:t xml:space="preserve">bonds, the present value of the revenue requirement associated with use of </w:t>
      </w:r>
      <w:r w:rsidR="00F436CC" w:rsidRPr="00BD2206">
        <w:t>conventional financing</w:t>
      </w:r>
      <w:r w:rsidRPr="00BD2206">
        <w:t xml:space="preserve"> to the present value of the revenue required under securitization is an appropriate economic analysis to demonstrate whether securitization provides economic benefits to ratepayers.</w:t>
      </w:r>
      <w:bookmarkStart w:id="986" w:name="_Toc83702566"/>
      <w:bookmarkStart w:id="987" w:name="_Toc83703011"/>
      <w:bookmarkStart w:id="988" w:name="_Toc83703890"/>
      <w:bookmarkStart w:id="989" w:name="_Toc83704148"/>
      <w:bookmarkStart w:id="990" w:name="_Toc83704474"/>
      <w:bookmarkEnd w:id="981"/>
      <w:bookmarkEnd w:id="982"/>
      <w:bookmarkEnd w:id="983"/>
      <w:bookmarkEnd w:id="984"/>
      <w:bookmarkEnd w:id="985"/>
    </w:p>
    <w:p w14:paraId="232D87E5" w14:textId="2EF467D0" w:rsidR="00F436CC" w:rsidRPr="00BD2206" w:rsidRDefault="00F436CC" w:rsidP="003631D6">
      <w:pPr>
        <w:pStyle w:val="COLNumbered"/>
      </w:pPr>
      <w:r w:rsidRPr="00BD2206">
        <w:t xml:space="preserve">PURA § 36.402(b) specifies that system restoration costs include carrying costs at the utility’s weighted average cost of capital as last approved by the Commission in a general rate proceeding from the date the system restoration costs were incurred until they are recovered.  As a result, for purposes of the present value, nominal revenue, and other financial tests, it is necessary to compute the revenue requirements associated with non-securitized rates reflecting conventional utility financing using a weighted average cost of capital of </w:t>
      </w:r>
      <w:r w:rsidR="00970E5F" w:rsidRPr="00BD2206">
        <w:t>7.4992%</w:t>
      </w:r>
      <w:r w:rsidRPr="00BD2206">
        <w:t>, which is the weighted average cost of capital last approved in a</w:t>
      </w:r>
      <w:r w:rsidR="00970E5F" w:rsidRPr="00BD2206">
        <w:t>n</w:t>
      </w:r>
      <w:r w:rsidRPr="00BD2206">
        <w:t xml:space="preserve"> AEP Texas general rate proceeding.</w:t>
      </w:r>
    </w:p>
    <w:p w14:paraId="24C3288C" w14:textId="74C0116C" w:rsidR="003631D6" w:rsidRPr="00BD2206" w:rsidRDefault="003631D6" w:rsidP="003631D6">
      <w:pPr>
        <w:pStyle w:val="COLNumbered"/>
      </w:pPr>
      <w:proofErr w:type="spellStart"/>
      <w:r w:rsidRPr="00BD2206">
        <w:t>BondCo’s</w:t>
      </w:r>
      <w:proofErr w:type="spellEnd"/>
      <w:r w:rsidRPr="00BD2206">
        <w:t xml:space="preserve"> issuance of the </w:t>
      </w:r>
      <w:r w:rsidR="00F436CC" w:rsidRPr="00BD2206">
        <w:t xml:space="preserve">system restoration </w:t>
      </w:r>
      <w:r w:rsidRPr="00BD2206">
        <w:t xml:space="preserve">bonds approved in this Financing Order in compliance with the criteria established by this Financing Order satisfies the requirement of PURA § 39.301 prescribing that the structuring and pricing of the </w:t>
      </w:r>
      <w:r w:rsidR="00F436CC" w:rsidRPr="00BD2206">
        <w:t xml:space="preserve">system restoration </w:t>
      </w:r>
      <w:r w:rsidRPr="00BD2206">
        <w:t xml:space="preserve">bonds will result in the lowest </w:t>
      </w:r>
      <w:r w:rsidR="00E76934" w:rsidRPr="00BD2206">
        <w:t>system restoration</w:t>
      </w:r>
      <w:r w:rsidRPr="00BD2206">
        <w:t xml:space="preserve"> charges consistent with market conditions and the terms of this Financing Order.</w:t>
      </w:r>
      <w:bookmarkStart w:id="991" w:name="_Toc83702567"/>
      <w:bookmarkStart w:id="992" w:name="_Toc83703012"/>
      <w:bookmarkStart w:id="993" w:name="_Toc83703891"/>
      <w:bookmarkStart w:id="994" w:name="_Toc83704149"/>
      <w:bookmarkStart w:id="995" w:name="_Toc83704475"/>
      <w:bookmarkEnd w:id="986"/>
      <w:bookmarkEnd w:id="987"/>
      <w:bookmarkEnd w:id="988"/>
      <w:bookmarkEnd w:id="989"/>
      <w:bookmarkEnd w:id="990"/>
    </w:p>
    <w:p w14:paraId="6DF739DB" w14:textId="77777777" w:rsidR="003631D6" w:rsidRPr="00BD2206" w:rsidRDefault="003631D6" w:rsidP="003631D6">
      <w:pPr>
        <w:pStyle w:val="COLNumbered"/>
      </w:pPr>
      <w:r w:rsidRPr="00BD2206">
        <w:t xml:space="preserve">The amount approved in this Financing Order for securitization does not exceed the present value of the revenue requirement over the life of the </w:t>
      </w:r>
      <w:r w:rsidR="00F436CC" w:rsidRPr="00BD2206">
        <w:t xml:space="preserve">system restoration </w:t>
      </w:r>
      <w:r w:rsidRPr="00BD2206">
        <w:t>bonds approved in this Financing Order that are associated with the costs sought to be securitized, as required by PURA § 39.301.</w:t>
      </w:r>
      <w:bookmarkStart w:id="996" w:name="_Toc83702568"/>
      <w:bookmarkStart w:id="997" w:name="_Toc83703013"/>
      <w:bookmarkStart w:id="998" w:name="_Toc83703892"/>
      <w:bookmarkStart w:id="999" w:name="_Toc83704150"/>
      <w:bookmarkStart w:id="1000" w:name="_Toc83704476"/>
      <w:bookmarkEnd w:id="991"/>
      <w:bookmarkEnd w:id="992"/>
      <w:bookmarkEnd w:id="993"/>
      <w:bookmarkEnd w:id="994"/>
      <w:bookmarkEnd w:id="995"/>
    </w:p>
    <w:p w14:paraId="40736CD6" w14:textId="77777777" w:rsidR="003631D6" w:rsidRPr="00BD2206" w:rsidRDefault="003631D6" w:rsidP="003631D6">
      <w:pPr>
        <w:pStyle w:val="COLNumbered"/>
      </w:pPr>
      <w:r w:rsidRPr="00BD2206">
        <w:t>The securitization approved in this Financing Order satisfies the requirements of PURA § 39.303(a) directing that the total amount of revenues to be collected under this Financing Order be less than the revenue requirement that would be recovered using conventional financing methods and that this Financing Order be consistent with the standards of PURA § 39.301.</w:t>
      </w:r>
      <w:bookmarkEnd w:id="996"/>
      <w:bookmarkEnd w:id="997"/>
      <w:bookmarkEnd w:id="998"/>
      <w:bookmarkEnd w:id="999"/>
      <w:bookmarkEnd w:id="1000"/>
    </w:p>
    <w:p w14:paraId="27232556" w14:textId="0133F83A" w:rsidR="003631D6" w:rsidRPr="00BD2206" w:rsidRDefault="003631D6" w:rsidP="003631D6">
      <w:pPr>
        <w:pStyle w:val="COLNumbered"/>
      </w:pPr>
      <w:r w:rsidRPr="00BD2206">
        <w:t xml:space="preserve">Under PURA §§ </w:t>
      </w:r>
      <w:r w:rsidR="00F436CC" w:rsidRPr="00BD2206">
        <w:t xml:space="preserve">36.401, 36.403, </w:t>
      </w:r>
      <w:r w:rsidRPr="00BD2206">
        <w:t xml:space="preserve">39.301 and 39.303, the Commission has the ability to prohibit different financial options relating to the </w:t>
      </w:r>
      <w:r w:rsidR="00F436CC" w:rsidRPr="00BD2206">
        <w:t xml:space="preserve">system restoration </w:t>
      </w:r>
      <w:r w:rsidRPr="00BD2206">
        <w:t xml:space="preserve">bonds if the evidence supports the finding that the financial option will not or is unlikely to result in the lowest </w:t>
      </w:r>
      <w:r w:rsidR="000B2055" w:rsidRPr="00BD2206">
        <w:t xml:space="preserve">system restoration </w:t>
      </w:r>
      <w:r w:rsidRPr="00BD2206">
        <w:t>charges consistent with market conditions.</w:t>
      </w:r>
    </w:p>
    <w:p w14:paraId="0A5C14AF" w14:textId="29DFF516" w:rsidR="003631D6" w:rsidRPr="00BD2206" w:rsidRDefault="003631D6" w:rsidP="003631D6">
      <w:pPr>
        <w:pStyle w:val="COLNumbered"/>
      </w:pPr>
      <w:bookmarkStart w:id="1001" w:name="_Toc83702569"/>
      <w:bookmarkStart w:id="1002" w:name="_Toc83703014"/>
      <w:bookmarkStart w:id="1003" w:name="_Toc83703893"/>
      <w:bookmarkStart w:id="1004" w:name="_Toc83704151"/>
      <w:bookmarkStart w:id="1005" w:name="_Toc83704477"/>
      <w:r w:rsidRPr="00BD2206">
        <w:t xml:space="preserve">This Financing Order adequately details the amount to be recovered and the period over which </w:t>
      </w:r>
      <w:r w:rsidR="00DA6854" w:rsidRPr="00BD2206">
        <w:t>AEP Texas</w:t>
      </w:r>
      <w:r w:rsidRPr="00BD2206">
        <w:t xml:space="preserve"> will be permitted to recover </w:t>
      </w:r>
      <w:proofErr w:type="spellStart"/>
      <w:r w:rsidRPr="00BD2206">
        <w:t>nonbypassable</w:t>
      </w:r>
      <w:proofErr w:type="spellEnd"/>
      <w:r w:rsidRPr="00BD2206">
        <w:t xml:space="preserve"> </w:t>
      </w:r>
      <w:r w:rsidR="000B2055" w:rsidRPr="00BD2206">
        <w:t xml:space="preserve">system restoration </w:t>
      </w:r>
      <w:r w:rsidRPr="00BD2206">
        <w:t xml:space="preserve">charges in accordance </w:t>
      </w:r>
      <w:r w:rsidRPr="00BD2206">
        <w:rPr>
          <w:iCs/>
          <w:snapToGrid/>
        </w:rPr>
        <w:t>with the requirements of PURA §</w:t>
      </w:r>
      <w:r w:rsidR="001A33C4" w:rsidRPr="00BD2206">
        <w:rPr>
          <w:iCs/>
          <w:snapToGrid/>
        </w:rPr>
        <w:t>§</w:t>
      </w:r>
      <w:r w:rsidRPr="00BD2206">
        <w:rPr>
          <w:iCs/>
          <w:snapToGrid/>
        </w:rPr>
        <w:t> </w:t>
      </w:r>
      <w:r w:rsidR="000B2055" w:rsidRPr="00BD2206">
        <w:rPr>
          <w:iCs/>
          <w:snapToGrid/>
        </w:rPr>
        <w:t>36.403</w:t>
      </w:r>
      <w:r w:rsidR="001A33C4" w:rsidRPr="00BD2206">
        <w:rPr>
          <w:iCs/>
          <w:snapToGrid/>
        </w:rPr>
        <w:t xml:space="preserve"> and 36.404</w:t>
      </w:r>
      <w:r w:rsidRPr="00BD2206">
        <w:rPr>
          <w:iCs/>
          <w:snapToGrid/>
        </w:rPr>
        <w:t xml:space="preserve">.  </w:t>
      </w:r>
      <w:r w:rsidR="000B2055" w:rsidRPr="00BD2206">
        <w:t xml:space="preserve">System restoration </w:t>
      </w:r>
      <w:r w:rsidRPr="00BD2206">
        <w:rPr>
          <w:iCs/>
          <w:snapToGrid/>
        </w:rPr>
        <w:t xml:space="preserve">charges related to a series of </w:t>
      </w:r>
      <w:r w:rsidR="000B2055" w:rsidRPr="00BD2206">
        <w:t xml:space="preserve">system restoration </w:t>
      </w:r>
      <w:r w:rsidRPr="00BD2206">
        <w:t xml:space="preserve">bonds may not be collected after 15 years from the date of issuance of that series of bonds.  This provision does not preclude the servicer from recovering </w:t>
      </w:r>
      <w:r w:rsidR="000B2055" w:rsidRPr="00BD2206">
        <w:t xml:space="preserve">system restoration </w:t>
      </w:r>
      <w:r w:rsidRPr="00BD2206">
        <w:t>charges attributable to service rendered during the 15-year period but remaining unpaid at the end of the 15-year period.</w:t>
      </w:r>
      <w:bookmarkStart w:id="1006" w:name="_Toc83702570"/>
      <w:bookmarkStart w:id="1007" w:name="_Toc83703015"/>
      <w:bookmarkStart w:id="1008" w:name="_Toc83703894"/>
      <w:bookmarkStart w:id="1009" w:name="_Toc83704152"/>
      <w:bookmarkStart w:id="1010" w:name="_Toc83704478"/>
      <w:bookmarkEnd w:id="1001"/>
      <w:bookmarkEnd w:id="1002"/>
      <w:bookmarkEnd w:id="1003"/>
      <w:bookmarkEnd w:id="1004"/>
      <w:bookmarkEnd w:id="1005"/>
    </w:p>
    <w:p w14:paraId="09923925" w14:textId="77777777" w:rsidR="003631D6" w:rsidRPr="00BD2206" w:rsidRDefault="003631D6" w:rsidP="003631D6">
      <w:pPr>
        <w:pStyle w:val="COLNumbered"/>
      </w:pPr>
      <w:r w:rsidRPr="00BD2206">
        <w:t xml:space="preserve">The method approved in this Financing Order for collecting and allocating the </w:t>
      </w:r>
      <w:r w:rsidR="000B2055" w:rsidRPr="00BD2206">
        <w:t xml:space="preserve">system restoration </w:t>
      </w:r>
      <w:r w:rsidRPr="00BD2206">
        <w:t>charges satisfies the requirements of PURA §</w:t>
      </w:r>
      <w:r w:rsidR="000B2055" w:rsidRPr="00BD2206">
        <w:t xml:space="preserve"> 36</w:t>
      </w:r>
      <w:r w:rsidRPr="00BD2206">
        <w:t>.</w:t>
      </w:r>
      <w:r w:rsidR="000B2055" w:rsidRPr="00BD2206">
        <w:t>403(g)</w:t>
      </w:r>
      <w:r w:rsidRPr="00BD2206">
        <w:t>.</w:t>
      </w:r>
      <w:bookmarkStart w:id="1011" w:name="_Toc83702571"/>
      <w:bookmarkStart w:id="1012" w:name="_Toc83703016"/>
      <w:bookmarkStart w:id="1013" w:name="_Toc83703895"/>
      <w:bookmarkStart w:id="1014" w:name="_Toc83704153"/>
      <w:bookmarkStart w:id="1015" w:name="_Toc83704479"/>
      <w:bookmarkEnd w:id="1006"/>
      <w:bookmarkEnd w:id="1007"/>
      <w:bookmarkEnd w:id="1008"/>
      <w:bookmarkEnd w:id="1009"/>
      <w:bookmarkEnd w:id="1010"/>
    </w:p>
    <w:p w14:paraId="49A7036D" w14:textId="77777777" w:rsidR="003631D6" w:rsidRPr="00BD2206" w:rsidRDefault="003631D6" w:rsidP="003631D6">
      <w:pPr>
        <w:pStyle w:val="COLNumbered"/>
      </w:pPr>
      <w:bookmarkStart w:id="1016" w:name="_Ref138486225"/>
      <w:r w:rsidRPr="00BD2206">
        <w:t xml:space="preserve">As provided in PURA § 39.303(d), this Financing Order, together with the </w:t>
      </w:r>
      <w:r w:rsidR="0070475E" w:rsidRPr="00BD2206">
        <w:t xml:space="preserve">system restoration </w:t>
      </w:r>
      <w:r w:rsidRPr="00BD2206">
        <w:t xml:space="preserve">charges authorized by this Financing Order, is irrevocable and not subject to reduction, impairment, or adjustment by further act of the Commission, except for the true-up procedures approved in this Financing Order, as required by PURA § 39.307; provided, however, that such irrevocability shall not preclude the Commission from extending the deadline for issuance of </w:t>
      </w:r>
      <w:r w:rsidR="0070475E" w:rsidRPr="00BD2206">
        <w:t xml:space="preserve">system restoration </w:t>
      </w:r>
      <w:r w:rsidRPr="00BD2206">
        <w:t xml:space="preserve">bonds if requested to do so by </w:t>
      </w:r>
      <w:r w:rsidR="00DA6854" w:rsidRPr="00BD2206">
        <w:t>AEP Texas</w:t>
      </w:r>
      <w:r w:rsidRPr="00BD2206">
        <w:t>.</w:t>
      </w:r>
      <w:bookmarkStart w:id="1017" w:name="_Toc83702572"/>
      <w:bookmarkStart w:id="1018" w:name="_Toc83703017"/>
      <w:bookmarkStart w:id="1019" w:name="_Toc83703896"/>
      <w:bookmarkStart w:id="1020" w:name="_Toc83704154"/>
      <w:bookmarkStart w:id="1021" w:name="_Toc83704480"/>
      <w:bookmarkEnd w:id="1011"/>
      <w:bookmarkEnd w:id="1012"/>
      <w:bookmarkEnd w:id="1013"/>
      <w:bookmarkEnd w:id="1014"/>
      <w:bookmarkEnd w:id="1015"/>
      <w:bookmarkEnd w:id="1016"/>
    </w:p>
    <w:p w14:paraId="273B5546" w14:textId="77777777" w:rsidR="003631D6" w:rsidRPr="00BD2206" w:rsidRDefault="003631D6" w:rsidP="003631D6">
      <w:pPr>
        <w:pStyle w:val="COLNumbered"/>
      </w:pPr>
      <w:r w:rsidRPr="00BD2206">
        <w:t xml:space="preserve">As provided in PURA § 39.304(a), the rights and interests of </w:t>
      </w:r>
      <w:r w:rsidR="00DA6854" w:rsidRPr="00BD2206">
        <w:t>AEP Texas</w:t>
      </w:r>
      <w:r w:rsidRPr="00BD2206">
        <w:t xml:space="preserve"> or its successor under this Financing Order, including the right to impose, collect and receive the </w:t>
      </w:r>
      <w:r w:rsidR="0070475E" w:rsidRPr="00BD2206">
        <w:t xml:space="preserve">system restoration </w:t>
      </w:r>
      <w:r w:rsidRPr="00BD2206">
        <w:t xml:space="preserve">charges authorized in this Financing Order, are assignable and shall become transition property when they are first transferred to </w:t>
      </w:r>
      <w:proofErr w:type="spellStart"/>
      <w:r w:rsidRPr="00BD2206">
        <w:t>BondCo</w:t>
      </w:r>
      <w:proofErr w:type="spellEnd"/>
      <w:r w:rsidRPr="00BD2206">
        <w:t>.</w:t>
      </w:r>
      <w:bookmarkEnd w:id="1017"/>
      <w:bookmarkEnd w:id="1018"/>
      <w:bookmarkEnd w:id="1019"/>
      <w:bookmarkEnd w:id="1020"/>
      <w:bookmarkEnd w:id="1021"/>
    </w:p>
    <w:p w14:paraId="2A432EC1" w14:textId="77777777" w:rsidR="003631D6" w:rsidRPr="00BD2206" w:rsidRDefault="003631D6" w:rsidP="003631D6">
      <w:pPr>
        <w:pStyle w:val="COLNumbered"/>
      </w:pPr>
      <w:r w:rsidRPr="00BD2206">
        <w:t xml:space="preserve">The rights, interests and property conveyed to </w:t>
      </w:r>
      <w:proofErr w:type="spellStart"/>
      <w:r w:rsidRPr="00BD2206">
        <w:t>BondCo</w:t>
      </w:r>
      <w:proofErr w:type="spellEnd"/>
      <w:r w:rsidRPr="00BD2206">
        <w:t xml:space="preserve"> in the Transition Property Purchase and Sale Agreement and the related Bill of Sale, including the irrevocable right to impose, collect and receive </w:t>
      </w:r>
      <w:r w:rsidR="0070475E" w:rsidRPr="00BD2206">
        <w:t xml:space="preserve">system restoration </w:t>
      </w:r>
      <w:r w:rsidRPr="00BD2206">
        <w:t xml:space="preserve">charges and the revenues and collections from </w:t>
      </w:r>
      <w:r w:rsidR="009761B6" w:rsidRPr="00BD2206">
        <w:t xml:space="preserve">system restoration </w:t>
      </w:r>
      <w:r w:rsidRPr="00BD2206">
        <w:t>charges are “transition property” within the meaning of PURA §§ 39.302(8) and 39.304.</w:t>
      </w:r>
      <w:bookmarkStart w:id="1022" w:name="_Toc83702573"/>
      <w:bookmarkStart w:id="1023" w:name="_Toc83703018"/>
      <w:bookmarkStart w:id="1024" w:name="_Toc83703897"/>
      <w:bookmarkStart w:id="1025" w:name="_Toc83704155"/>
      <w:bookmarkStart w:id="1026" w:name="_Toc83704481"/>
    </w:p>
    <w:p w14:paraId="6E657129" w14:textId="77777777" w:rsidR="003631D6" w:rsidRPr="00BD2206" w:rsidRDefault="003631D6" w:rsidP="003631D6">
      <w:pPr>
        <w:pStyle w:val="COLNumbered"/>
      </w:pPr>
      <w:r w:rsidRPr="00BD2206">
        <w:t xml:space="preserve">Transition property will constitute a present property right for purposes of contracts concerning the sale or pledge of property, even though the imposition and collection of the </w:t>
      </w:r>
      <w:r w:rsidR="0070475E" w:rsidRPr="00BD2206">
        <w:t xml:space="preserve">system restoration </w:t>
      </w:r>
      <w:r w:rsidRPr="00BD2206">
        <w:t xml:space="preserve">charges depend on further acts by </w:t>
      </w:r>
      <w:r w:rsidR="00DA6854" w:rsidRPr="00BD2206">
        <w:t>AEP Texas</w:t>
      </w:r>
      <w:r w:rsidRPr="00BD2206">
        <w:t xml:space="preserve"> or others that have not yet occurred, as provided by PURA § 39.304(b).</w:t>
      </w:r>
      <w:bookmarkStart w:id="1027" w:name="_Toc83702574"/>
      <w:bookmarkStart w:id="1028" w:name="_Toc83703019"/>
      <w:bookmarkStart w:id="1029" w:name="_Toc83703898"/>
      <w:bookmarkStart w:id="1030" w:name="_Toc83704156"/>
      <w:bookmarkStart w:id="1031" w:name="_Toc83704482"/>
      <w:bookmarkEnd w:id="1022"/>
      <w:bookmarkEnd w:id="1023"/>
      <w:bookmarkEnd w:id="1024"/>
      <w:bookmarkEnd w:id="1025"/>
      <w:bookmarkEnd w:id="1026"/>
    </w:p>
    <w:p w14:paraId="44B323EF" w14:textId="77777777" w:rsidR="003631D6" w:rsidRPr="00BD2206" w:rsidRDefault="003631D6" w:rsidP="003631D6">
      <w:pPr>
        <w:pStyle w:val="COLNumbered"/>
      </w:pPr>
      <w:r w:rsidRPr="00BD2206">
        <w:t xml:space="preserve">All revenues and collections resulting from the </w:t>
      </w:r>
      <w:r w:rsidR="0070475E" w:rsidRPr="00BD2206">
        <w:t xml:space="preserve">system restoration </w:t>
      </w:r>
      <w:r w:rsidRPr="00BD2206">
        <w:t>charges will constitute proceeds only of the transition property arising from this Financing Order, as provided by PURA § 39.304(c).</w:t>
      </w:r>
      <w:bookmarkStart w:id="1032" w:name="_Toc83702575"/>
      <w:bookmarkStart w:id="1033" w:name="_Toc83703020"/>
      <w:bookmarkStart w:id="1034" w:name="_Toc83703899"/>
      <w:bookmarkStart w:id="1035" w:name="_Toc83704157"/>
      <w:bookmarkStart w:id="1036" w:name="_Toc83704483"/>
      <w:bookmarkEnd w:id="1027"/>
      <w:bookmarkEnd w:id="1028"/>
      <w:bookmarkEnd w:id="1029"/>
      <w:bookmarkEnd w:id="1030"/>
      <w:bookmarkEnd w:id="1031"/>
    </w:p>
    <w:p w14:paraId="27767359" w14:textId="5305C5FB" w:rsidR="003631D6" w:rsidRPr="00BD2206" w:rsidRDefault="003631D6" w:rsidP="003631D6">
      <w:pPr>
        <w:pStyle w:val="COLNumbered"/>
      </w:pPr>
      <w:r w:rsidRPr="00BD2206">
        <w:t xml:space="preserve">Upon the transfer by </w:t>
      </w:r>
      <w:r w:rsidR="00DA6854" w:rsidRPr="00BD2206">
        <w:t>AEP Texas</w:t>
      </w:r>
      <w:r w:rsidRPr="00BD2206">
        <w:t xml:space="preserve"> of transition property to </w:t>
      </w:r>
      <w:r w:rsidR="00D670DC" w:rsidRPr="00BD2206">
        <w:t xml:space="preserve">a </w:t>
      </w:r>
      <w:proofErr w:type="spellStart"/>
      <w:r w:rsidRPr="00BD2206">
        <w:t>BondCo</w:t>
      </w:r>
      <w:proofErr w:type="spellEnd"/>
      <w:r w:rsidRPr="00BD2206">
        <w:t xml:space="preserve">, </w:t>
      </w:r>
      <w:r w:rsidR="00D670DC" w:rsidRPr="00BD2206">
        <w:t xml:space="preserve">the </w:t>
      </w:r>
      <w:proofErr w:type="spellStart"/>
      <w:r w:rsidRPr="00BD2206">
        <w:t>BondCo</w:t>
      </w:r>
      <w:proofErr w:type="spellEnd"/>
      <w:r w:rsidRPr="00BD2206">
        <w:t xml:space="preserve"> will have all of the rights, title and interest of </w:t>
      </w:r>
      <w:r w:rsidR="00DA6854" w:rsidRPr="00BD2206">
        <w:t>AEP Texas</w:t>
      </w:r>
      <w:r w:rsidRPr="00BD2206">
        <w:t xml:space="preserve"> with respect to such transition property including the right to impose, collect and receive the </w:t>
      </w:r>
      <w:r w:rsidR="0070475E" w:rsidRPr="00BD2206">
        <w:t xml:space="preserve">system restoration </w:t>
      </w:r>
      <w:r w:rsidRPr="00BD2206">
        <w:t>charges authorized by the Financing Order.</w:t>
      </w:r>
      <w:bookmarkEnd w:id="1032"/>
      <w:bookmarkEnd w:id="1033"/>
      <w:bookmarkEnd w:id="1034"/>
      <w:bookmarkEnd w:id="1035"/>
      <w:bookmarkEnd w:id="1036"/>
    </w:p>
    <w:p w14:paraId="0633E9EA" w14:textId="4BB78450" w:rsidR="003631D6" w:rsidRPr="00BD2206" w:rsidRDefault="003631D6" w:rsidP="003631D6">
      <w:pPr>
        <w:pStyle w:val="COLNumbered"/>
      </w:pPr>
      <w:r w:rsidRPr="00BD2206">
        <w:t xml:space="preserve">The </w:t>
      </w:r>
      <w:r w:rsidR="0070475E" w:rsidRPr="00BD2206">
        <w:t xml:space="preserve">system restoration </w:t>
      </w:r>
      <w:r w:rsidRPr="00BD2206">
        <w:t>bonds issued pursuant to this Financing Order will be “transition bonds” within the meaning of PURA §</w:t>
      </w:r>
      <w:r w:rsidR="00D925BC" w:rsidRPr="00BD2206">
        <w:t>§</w:t>
      </w:r>
      <w:r w:rsidRPr="00BD2206">
        <w:t> 3</w:t>
      </w:r>
      <w:r w:rsidR="0070475E" w:rsidRPr="00BD2206">
        <w:t>6</w:t>
      </w:r>
      <w:r w:rsidRPr="00BD2206">
        <w:t>.</w:t>
      </w:r>
      <w:r w:rsidR="0070475E" w:rsidRPr="00BD2206">
        <w:t>403(e</w:t>
      </w:r>
      <w:r w:rsidRPr="00BD2206">
        <w:t xml:space="preserve">) </w:t>
      </w:r>
      <w:r w:rsidR="00D925BC" w:rsidRPr="00BD2206">
        <w:t xml:space="preserve">and Section 39.302(6) </w:t>
      </w:r>
      <w:r w:rsidRPr="00BD2206">
        <w:t xml:space="preserve">and the </w:t>
      </w:r>
      <w:r w:rsidR="0070475E" w:rsidRPr="00BD2206">
        <w:t xml:space="preserve">system restoration </w:t>
      </w:r>
      <w:r w:rsidRPr="00BD2206">
        <w:t>bonds and holders thereof are entitled to all of t</w:t>
      </w:r>
      <w:r w:rsidRPr="00BD2206">
        <w:rPr>
          <w:iCs/>
          <w:snapToGrid/>
        </w:rPr>
        <w:t>h</w:t>
      </w:r>
      <w:r w:rsidRPr="00BD2206">
        <w:t xml:space="preserve">e protections provided under </w:t>
      </w:r>
      <w:r w:rsidR="0070475E" w:rsidRPr="00BD2206">
        <w:t xml:space="preserve">Subchapter I of Chapter 36 and </w:t>
      </w:r>
      <w:r w:rsidRPr="00BD2206">
        <w:t>Subchapter G of Chapter 39 of PURA.</w:t>
      </w:r>
    </w:p>
    <w:p w14:paraId="10A15B8D" w14:textId="0DE13560" w:rsidR="003631D6" w:rsidRPr="00BD2206" w:rsidRDefault="003631D6" w:rsidP="003631D6">
      <w:pPr>
        <w:pStyle w:val="COLNumbered"/>
      </w:pPr>
      <w:r w:rsidRPr="00BD2206">
        <w:t xml:space="preserve">Amounts that are required to be paid to the servicer as </w:t>
      </w:r>
      <w:r w:rsidR="0070475E" w:rsidRPr="00BD2206">
        <w:t xml:space="preserve">system restoration </w:t>
      </w:r>
      <w:r w:rsidRPr="00BD2206">
        <w:t xml:space="preserve">charges under this Financing Order or the tariffs approved hereby are </w:t>
      </w:r>
      <w:r w:rsidR="00E76934" w:rsidRPr="00BD2206">
        <w:t>“</w:t>
      </w:r>
      <w:r w:rsidRPr="00BD2206">
        <w:t>transition charges</w:t>
      </w:r>
      <w:r w:rsidR="00E76934" w:rsidRPr="00BD2206">
        <w:t>”</w:t>
      </w:r>
      <w:r w:rsidRPr="00BD2206">
        <w:t xml:space="preserve"> as defined in PURA </w:t>
      </w:r>
      <w:r w:rsidR="0070475E" w:rsidRPr="00BD2206">
        <w:t>§</w:t>
      </w:r>
      <w:r w:rsidRPr="00BD2206">
        <w:t>§</w:t>
      </w:r>
      <w:r w:rsidR="0070475E" w:rsidRPr="00BD2206">
        <w:t xml:space="preserve"> 36.403(f) and</w:t>
      </w:r>
      <w:r w:rsidRPr="00BD2206">
        <w:t xml:space="preserve"> 39.302(7), and the amounts collected from retail </w:t>
      </w:r>
      <w:r w:rsidR="00824E79" w:rsidRPr="00BD2206">
        <w:t>customers</w:t>
      </w:r>
      <w:r w:rsidRPr="00BD2206">
        <w:t xml:space="preserve"> with respect to such </w:t>
      </w:r>
      <w:r w:rsidR="009761B6" w:rsidRPr="00BD2206">
        <w:t xml:space="preserve">system restoration </w:t>
      </w:r>
      <w:r w:rsidRPr="00BD2206">
        <w:t xml:space="preserve">charges are "transition charges" as defined in PURA </w:t>
      </w:r>
      <w:r w:rsidR="0070475E" w:rsidRPr="00BD2206">
        <w:t>§</w:t>
      </w:r>
      <w:r w:rsidRPr="00BD2206">
        <w:t>§ </w:t>
      </w:r>
      <w:r w:rsidR="0070475E" w:rsidRPr="00BD2206">
        <w:t xml:space="preserve">36.403(f) and </w:t>
      </w:r>
      <w:r w:rsidRPr="00BD2206">
        <w:t xml:space="preserve">39.302(7), whether or not such charges are set out as a separate line item on the retail </w:t>
      </w:r>
      <w:r w:rsidR="004B10F4" w:rsidRPr="00BD2206">
        <w:t>customer</w:t>
      </w:r>
      <w:r w:rsidR="00272803" w:rsidRPr="00BD2206">
        <w:t>’</w:t>
      </w:r>
      <w:r w:rsidRPr="00BD2206">
        <w:t>s bill.</w:t>
      </w:r>
      <w:bookmarkStart w:id="1037" w:name="_Toc83702576"/>
      <w:bookmarkStart w:id="1038" w:name="_Toc83703021"/>
      <w:bookmarkStart w:id="1039" w:name="_Toc83703900"/>
      <w:bookmarkStart w:id="1040" w:name="_Toc83704158"/>
      <w:bookmarkStart w:id="1041" w:name="_Toc83704484"/>
    </w:p>
    <w:p w14:paraId="1941E3C7" w14:textId="6F33C8AE" w:rsidR="003631D6" w:rsidRPr="00BD2206" w:rsidRDefault="003631D6" w:rsidP="003631D6">
      <w:pPr>
        <w:pStyle w:val="COLNumbered"/>
      </w:pPr>
      <w:r w:rsidRPr="00BD2206">
        <w:t xml:space="preserve">Any payment of </w:t>
      </w:r>
      <w:r w:rsidR="0070475E" w:rsidRPr="00BD2206">
        <w:t xml:space="preserve">system restoration </w:t>
      </w:r>
      <w:r w:rsidRPr="00BD2206">
        <w:t xml:space="preserve">charges by a retail </w:t>
      </w:r>
      <w:r w:rsidR="00513E7D" w:rsidRPr="00BD2206">
        <w:t>customer</w:t>
      </w:r>
      <w:r w:rsidRPr="00BD2206">
        <w:t xml:space="preserve"> to its REP, to another entity responsible for collecting </w:t>
      </w:r>
      <w:r w:rsidR="00774776" w:rsidRPr="00BD2206">
        <w:t xml:space="preserve">system restoration </w:t>
      </w:r>
      <w:r w:rsidRPr="00BD2206">
        <w:t xml:space="preserve">charges from retail </w:t>
      </w:r>
      <w:r w:rsidR="00824E79" w:rsidRPr="00BD2206">
        <w:t>customers</w:t>
      </w:r>
      <w:r w:rsidRPr="00BD2206">
        <w:t xml:space="preserve"> under this Financing Order or the tariffs approved hereunder, or directly to the servicer will discharge the retail </w:t>
      </w:r>
      <w:r w:rsidR="00513E7D" w:rsidRPr="00BD2206">
        <w:t>customer’s</w:t>
      </w:r>
      <w:r w:rsidRPr="00BD2206">
        <w:t xml:space="preserve"> obligations in respect of that payment, but will not discharge the obligations of any REP or other entity responsible for collecting </w:t>
      </w:r>
      <w:r w:rsidR="00774776" w:rsidRPr="00BD2206">
        <w:t xml:space="preserve">system restoration </w:t>
      </w:r>
      <w:r w:rsidRPr="00BD2206">
        <w:t xml:space="preserve">charges from retail </w:t>
      </w:r>
      <w:r w:rsidR="00824E79" w:rsidRPr="00BD2206">
        <w:t>customers</w:t>
      </w:r>
      <w:r w:rsidRPr="00BD2206">
        <w:t xml:space="preserve"> under this Financing Order to remit such payments to the servicer of the </w:t>
      </w:r>
      <w:r w:rsidR="00774776" w:rsidRPr="00BD2206">
        <w:t xml:space="preserve">system restoration </w:t>
      </w:r>
      <w:r w:rsidRPr="00BD2206">
        <w:t xml:space="preserve">bonds on behalf of </w:t>
      </w:r>
      <w:r w:rsidR="00D670DC" w:rsidRPr="00BD2206">
        <w:t xml:space="preserve">a </w:t>
      </w:r>
      <w:proofErr w:type="spellStart"/>
      <w:r w:rsidRPr="00BD2206">
        <w:t>BondCo</w:t>
      </w:r>
      <w:proofErr w:type="spellEnd"/>
      <w:r w:rsidRPr="00BD2206">
        <w:t xml:space="preserve"> or an assignee or its obligations to pay amounts determined through subsequent true-up adjustments.</w:t>
      </w:r>
      <w:bookmarkStart w:id="1042" w:name="_Toc83702577"/>
      <w:bookmarkStart w:id="1043" w:name="_Toc83703022"/>
      <w:bookmarkStart w:id="1044" w:name="_Toc83703901"/>
      <w:bookmarkStart w:id="1045" w:name="_Toc83704159"/>
      <w:bookmarkStart w:id="1046" w:name="_Toc83704485"/>
      <w:bookmarkEnd w:id="1037"/>
      <w:bookmarkEnd w:id="1038"/>
      <w:bookmarkEnd w:id="1039"/>
      <w:bookmarkEnd w:id="1040"/>
      <w:bookmarkEnd w:id="1041"/>
    </w:p>
    <w:p w14:paraId="0FCBFB93" w14:textId="77777777" w:rsidR="003631D6" w:rsidRPr="00BD2206" w:rsidRDefault="003631D6" w:rsidP="003631D6">
      <w:pPr>
        <w:pStyle w:val="COLNumbered"/>
      </w:pPr>
      <w:r w:rsidRPr="00BD2206">
        <w:t>As provided in PURA § 39.305,</w:t>
      </w:r>
      <w:r w:rsidRPr="00BD2206">
        <w:rPr>
          <w:iCs/>
          <w:snapToGrid/>
        </w:rPr>
        <w:t xml:space="preserve"> </w:t>
      </w:r>
      <w:r w:rsidRPr="00BD2206">
        <w:t xml:space="preserve">the interests of an assignee, the holders of </w:t>
      </w:r>
      <w:r w:rsidR="004100A4" w:rsidRPr="00BD2206">
        <w:t xml:space="preserve">system restoration </w:t>
      </w:r>
      <w:r w:rsidRPr="00BD2206">
        <w:t xml:space="preserve">bonds, and the indenture trustee in transition property and in the revenues and collections arising from that property are not subject to setoff, counterclaim, surcharge, or defense by </w:t>
      </w:r>
      <w:r w:rsidR="00DA6854" w:rsidRPr="00BD2206">
        <w:t>AEP Texas</w:t>
      </w:r>
      <w:r w:rsidRPr="00BD2206">
        <w:t xml:space="preserve"> or any other person or in connection with the bankruptcy of </w:t>
      </w:r>
      <w:r w:rsidR="00DA6854" w:rsidRPr="00BD2206">
        <w:t>AEP Texas</w:t>
      </w:r>
      <w:r w:rsidRPr="00BD2206">
        <w:t xml:space="preserve"> or any other entity.</w:t>
      </w:r>
      <w:bookmarkStart w:id="1047" w:name="_Toc83702579"/>
      <w:bookmarkStart w:id="1048" w:name="_Toc83703024"/>
      <w:bookmarkStart w:id="1049" w:name="_Toc83703903"/>
      <w:bookmarkStart w:id="1050" w:name="_Toc83704161"/>
      <w:bookmarkStart w:id="1051" w:name="_Toc83704487"/>
      <w:bookmarkEnd w:id="1042"/>
      <w:bookmarkEnd w:id="1043"/>
      <w:bookmarkEnd w:id="1044"/>
      <w:bookmarkEnd w:id="1045"/>
      <w:bookmarkEnd w:id="1046"/>
    </w:p>
    <w:p w14:paraId="1F7EE54F" w14:textId="77777777" w:rsidR="003631D6" w:rsidRPr="00BD2206" w:rsidRDefault="003631D6" w:rsidP="003631D6">
      <w:pPr>
        <w:pStyle w:val="COLNumbered"/>
      </w:pPr>
      <w:r w:rsidRPr="00BD2206">
        <w:t xml:space="preserve">The methodology approved in this Financing Order to true-up the </w:t>
      </w:r>
      <w:r w:rsidR="009761B6" w:rsidRPr="00BD2206">
        <w:t xml:space="preserve">system restoration </w:t>
      </w:r>
      <w:r w:rsidRPr="00BD2206">
        <w:t>charges satisfies the requirements of PURA §</w:t>
      </w:r>
      <w:r w:rsidR="00AF0C1B" w:rsidRPr="00BD2206">
        <w:t>§ 36.401 and</w:t>
      </w:r>
      <w:r w:rsidRPr="00BD2206">
        <w:t> 39.307.</w:t>
      </w:r>
      <w:bookmarkStart w:id="1052" w:name="_Toc83702580"/>
      <w:bookmarkStart w:id="1053" w:name="_Toc83703025"/>
      <w:bookmarkStart w:id="1054" w:name="_Toc83703904"/>
      <w:bookmarkStart w:id="1055" w:name="_Toc83704162"/>
      <w:bookmarkStart w:id="1056" w:name="_Toc83704488"/>
      <w:bookmarkEnd w:id="1047"/>
      <w:bookmarkEnd w:id="1048"/>
      <w:bookmarkEnd w:id="1049"/>
      <w:bookmarkEnd w:id="1050"/>
      <w:bookmarkEnd w:id="1051"/>
    </w:p>
    <w:p w14:paraId="622FD64C" w14:textId="722B6BB7" w:rsidR="003631D6" w:rsidRPr="00BD2206" w:rsidRDefault="003631D6" w:rsidP="003631D6">
      <w:pPr>
        <w:pStyle w:val="COLNumbered"/>
      </w:pPr>
      <w:r w:rsidRPr="00BD2206">
        <w:t xml:space="preserve">If and when </w:t>
      </w:r>
      <w:r w:rsidR="00DA6854" w:rsidRPr="00BD2206">
        <w:t>AEP Texas</w:t>
      </w:r>
      <w:r w:rsidRPr="00BD2206">
        <w:t xml:space="preserve"> transfers to </w:t>
      </w:r>
      <w:r w:rsidR="00D670DC" w:rsidRPr="00BD2206">
        <w:t xml:space="preserve">a </w:t>
      </w:r>
      <w:proofErr w:type="spellStart"/>
      <w:r w:rsidRPr="00BD2206">
        <w:t>BondCo</w:t>
      </w:r>
      <w:proofErr w:type="spellEnd"/>
      <w:r w:rsidRPr="00BD2206">
        <w:t xml:space="preserve"> the right to impose, collect, and receive the </w:t>
      </w:r>
      <w:r w:rsidR="00AF0C1B" w:rsidRPr="00BD2206">
        <w:t xml:space="preserve">system restoration </w:t>
      </w:r>
      <w:r w:rsidRPr="00BD2206">
        <w:t xml:space="preserve">charges and to issue the </w:t>
      </w:r>
      <w:r w:rsidR="00AF0C1B" w:rsidRPr="00BD2206">
        <w:t xml:space="preserve">system restoration </w:t>
      </w:r>
      <w:r w:rsidRPr="00BD2206">
        <w:t xml:space="preserve">bonds, the servicer will be able to recover the </w:t>
      </w:r>
      <w:r w:rsidR="00AF0C1B" w:rsidRPr="00BD2206">
        <w:t xml:space="preserve">system restoration </w:t>
      </w:r>
      <w:r w:rsidRPr="00BD2206">
        <w:t xml:space="preserve">charges associated with such transition property only for the benefit of </w:t>
      </w:r>
      <w:r w:rsidR="00D670DC" w:rsidRPr="00BD2206">
        <w:t xml:space="preserve">the </w:t>
      </w:r>
      <w:proofErr w:type="spellStart"/>
      <w:r w:rsidRPr="00BD2206">
        <w:t>BondCo</w:t>
      </w:r>
      <w:proofErr w:type="spellEnd"/>
      <w:r w:rsidRPr="00BD2206">
        <w:t xml:space="preserve"> and the holders of the </w:t>
      </w:r>
      <w:r w:rsidR="00AF0C1B" w:rsidRPr="00BD2206">
        <w:t xml:space="preserve">system restoration </w:t>
      </w:r>
      <w:r w:rsidRPr="00BD2206">
        <w:t>bonds in accordance with the servicing agreement.</w:t>
      </w:r>
      <w:bookmarkStart w:id="1057" w:name="_Toc83702581"/>
      <w:bookmarkStart w:id="1058" w:name="_Toc83703026"/>
      <w:bookmarkStart w:id="1059" w:name="_Toc83703905"/>
      <w:bookmarkStart w:id="1060" w:name="_Toc83704163"/>
      <w:bookmarkStart w:id="1061" w:name="_Toc83704489"/>
      <w:bookmarkEnd w:id="1052"/>
      <w:bookmarkEnd w:id="1053"/>
      <w:bookmarkEnd w:id="1054"/>
      <w:bookmarkEnd w:id="1055"/>
      <w:bookmarkEnd w:id="1056"/>
    </w:p>
    <w:p w14:paraId="603D1034" w14:textId="0AA04DA3" w:rsidR="003631D6" w:rsidRPr="00BD2206" w:rsidRDefault="003631D6" w:rsidP="003631D6">
      <w:pPr>
        <w:pStyle w:val="COLNumbered"/>
      </w:pPr>
      <w:r w:rsidRPr="00BD2206">
        <w:t xml:space="preserve">If and when </w:t>
      </w:r>
      <w:r w:rsidR="00DA6854" w:rsidRPr="00BD2206">
        <w:t>AEP Texas</w:t>
      </w:r>
      <w:r w:rsidRPr="00BD2206">
        <w:t xml:space="preserve"> transfers its rights under this Financing Order to </w:t>
      </w:r>
      <w:r w:rsidR="00D670DC" w:rsidRPr="00BD2206">
        <w:t xml:space="preserve">a </w:t>
      </w:r>
      <w:proofErr w:type="spellStart"/>
      <w:r w:rsidRPr="00BD2206">
        <w:t>BondCo</w:t>
      </w:r>
      <w:proofErr w:type="spellEnd"/>
      <w:r w:rsidRPr="00BD2206">
        <w:t xml:space="preserve"> under an agreement that expressly states that the transfer is a sale or other absolute transfer in accordance with the true-sale provisions of PURA § 39.308, then, pursuant to that statutory provision, that transfer will be a true sale of an interest in transition property and not a secured transaction or other financing arrangement and title, legal and equitable, to the transition property will pass to </w:t>
      </w:r>
      <w:r w:rsidR="00D670DC" w:rsidRPr="00BD2206">
        <w:t xml:space="preserve">the </w:t>
      </w:r>
      <w:proofErr w:type="spellStart"/>
      <w:r w:rsidRPr="00BD2206">
        <w:t>BondCo</w:t>
      </w:r>
      <w:proofErr w:type="spellEnd"/>
      <w:r w:rsidRPr="00BD2206">
        <w:t xml:space="preserve">.  As provided by PURA § 39.308, this true sale shall apply regardless of whether the purchaser has any recourse against the seller, or any other term of the parties’ agreement, including the seller’s retention of an equity interest in the transition property, </w:t>
      </w:r>
      <w:r w:rsidR="00DA6854" w:rsidRPr="00BD2206">
        <w:t>AEP Texas</w:t>
      </w:r>
      <w:r w:rsidRPr="00BD2206">
        <w:t xml:space="preserve">’ role as the collector of </w:t>
      </w:r>
      <w:r w:rsidR="00AF0C1B" w:rsidRPr="00BD2206">
        <w:t xml:space="preserve">system restoration </w:t>
      </w:r>
      <w:r w:rsidRPr="00BD2206">
        <w:t>charges relating to the transition property, or the treatment of the transfer as a financing for tax, financial reporting, or other purposes.</w:t>
      </w:r>
      <w:bookmarkStart w:id="1062" w:name="_Toc83702582"/>
      <w:bookmarkStart w:id="1063" w:name="_Toc83703027"/>
      <w:bookmarkStart w:id="1064" w:name="_Toc83703906"/>
      <w:bookmarkStart w:id="1065" w:name="_Toc83704164"/>
      <w:bookmarkStart w:id="1066" w:name="_Toc83704490"/>
      <w:bookmarkEnd w:id="1057"/>
      <w:bookmarkEnd w:id="1058"/>
      <w:bookmarkEnd w:id="1059"/>
      <w:bookmarkEnd w:id="1060"/>
      <w:bookmarkEnd w:id="1061"/>
    </w:p>
    <w:p w14:paraId="21A378A1" w14:textId="77777777" w:rsidR="003631D6" w:rsidRPr="00BD2206" w:rsidRDefault="003631D6" w:rsidP="003631D6">
      <w:pPr>
        <w:pStyle w:val="COLNumbered"/>
      </w:pPr>
      <w:r w:rsidRPr="00BD2206">
        <w:t xml:space="preserve">As provided in PURA § 39.309(b), a valid and enforceable lien and security interest in the transition property in favor of the holders of the </w:t>
      </w:r>
      <w:r w:rsidR="00AF0C1B" w:rsidRPr="00BD2206">
        <w:t xml:space="preserve">system restoration </w:t>
      </w:r>
      <w:r w:rsidRPr="00BD2206">
        <w:t xml:space="preserve">bonds or a trustee on their behalf will be created by this Financing Order and the execution and delivery of a security agreement with the holders of the </w:t>
      </w:r>
      <w:r w:rsidR="00AF0C1B" w:rsidRPr="00BD2206">
        <w:t xml:space="preserve">system restoration </w:t>
      </w:r>
      <w:r w:rsidRPr="00BD2206">
        <w:t xml:space="preserve">bonds or a trustee on their behalf in connection with the issuance of the </w:t>
      </w:r>
      <w:r w:rsidR="00AF0C1B" w:rsidRPr="00BD2206">
        <w:t xml:space="preserve">system restoration </w:t>
      </w:r>
      <w:r w:rsidRPr="00BD2206">
        <w:t>bonds.  The lien and security interest will attach automat</w:t>
      </w:r>
      <w:r w:rsidRPr="00BD2206">
        <w:rPr>
          <w:iCs/>
          <w:snapToGrid/>
        </w:rPr>
        <w:t>i</w:t>
      </w:r>
      <w:r w:rsidRPr="00BD2206">
        <w:t xml:space="preserve">cally from the time that value is received for the </w:t>
      </w:r>
      <w:r w:rsidR="00AF0C1B" w:rsidRPr="00BD2206">
        <w:t xml:space="preserve">system restoration </w:t>
      </w:r>
      <w:r w:rsidRPr="00BD2206">
        <w:t>bonds and, on perfection through the filing of notice with the Secretary of State in accordance with the rules prescribed by the Secretary of State under PURA § 39.309(d), will be a continuously perfected lien and security interest in the transition property and all proceeds of the transition property, whether accrued or not, will have priority in the order of filing and will take precedence over any subsequent judicial or other lien creditor.</w:t>
      </w:r>
      <w:bookmarkStart w:id="1067" w:name="_Toc83702583"/>
      <w:bookmarkStart w:id="1068" w:name="_Toc83703028"/>
      <w:bookmarkStart w:id="1069" w:name="_Toc83703907"/>
      <w:bookmarkStart w:id="1070" w:name="_Toc83704165"/>
      <w:bookmarkStart w:id="1071" w:name="_Toc83704491"/>
      <w:bookmarkEnd w:id="1062"/>
      <w:bookmarkEnd w:id="1063"/>
      <w:bookmarkEnd w:id="1064"/>
      <w:bookmarkEnd w:id="1065"/>
      <w:bookmarkEnd w:id="1066"/>
    </w:p>
    <w:p w14:paraId="175774E2" w14:textId="362C215B" w:rsidR="003631D6" w:rsidRPr="00BD2206" w:rsidRDefault="003631D6" w:rsidP="003631D6">
      <w:pPr>
        <w:pStyle w:val="COLNumbered"/>
      </w:pPr>
      <w:r w:rsidRPr="00BD2206">
        <w:t xml:space="preserve">As provided in PURA § 39.309(c), the transfer of an interest in transition property to an assignee will be perfected against all third parties, including subsequent judicial or other lien creditors, when this Financing Order becomes effective, transfer documents have been delivered to that assignee, and a notice of that transfer has been filed in accordance with the rules prescribed by the Secretary of State under PURA § 39.309(d); provided, however, that if notice of the transfer has not been filed in accordance with this process within 10 days after the delivery of transfer documentation, the transfer of the interest will not be perfected against third parties until the notice is filed.  The transfer to </w:t>
      </w:r>
      <w:r w:rsidR="00D670DC" w:rsidRPr="00BD2206">
        <w:t xml:space="preserve">a </w:t>
      </w:r>
      <w:proofErr w:type="spellStart"/>
      <w:r w:rsidRPr="00BD2206">
        <w:t>BondCo</w:t>
      </w:r>
      <w:proofErr w:type="spellEnd"/>
      <w:r w:rsidRPr="00BD2206">
        <w:t xml:space="preserve"> of </w:t>
      </w:r>
      <w:r w:rsidR="00DA6854" w:rsidRPr="00BD2206">
        <w:t>AEP Texas</w:t>
      </w:r>
      <w:r w:rsidR="00E76934" w:rsidRPr="00BD2206">
        <w:t>’</w:t>
      </w:r>
      <w:r w:rsidRPr="00BD2206">
        <w:t xml:space="preserve"> rights under this Financing Order will be a transfer of an interest in transition property for purposes of PURA § 39.309(c).</w:t>
      </w:r>
      <w:bookmarkStart w:id="1072" w:name="_Toc83702584"/>
      <w:bookmarkStart w:id="1073" w:name="_Toc83703029"/>
      <w:bookmarkStart w:id="1074" w:name="_Toc83703908"/>
      <w:bookmarkStart w:id="1075" w:name="_Toc83704166"/>
      <w:bookmarkStart w:id="1076" w:name="_Toc83704492"/>
      <w:bookmarkEnd w:id="1067"/>
      <w:bookmarkEnd w:id="1068"/>
      <w:bookmarkEnd w:id="1069"/>
      <w:bookmarkEnd w:id="1070"/>
      <w:bookmarkEnd w:id="1071"/>
    </w:p>
    <w:p w14:paraId="112BC504" w14:textId="77777777" w:rsidR="003631D6" w:rsidRPr="00BD2206" w:rsidRDefault="003631D6" w:rsidP="003631D6">
      <w:pPr>
        <w:pStyle w:val="COLNumbered"/>
      </w:pPr>
      <w:r w:rsidRPr="00BD2206">
        <w:t xml:space="preserve">As provided in PURA § 39.309(e), the priority of a lien and security interest perfected in accordance with PURA § 39.309 will not be impaired by any later change in the </w:t>
      </w:r>
      <w:r w:rsidR="00AF0C1B" w:rsidRPr="00BD2206">
        <w:t xml:space="preserve">system restoration </w:t>
      </w:r>
      <w:r w:rsidRPr="00BD2206">
        <w:t xml:space="preserve">charges pursuant to PURA § 39.307 or by the commingling of funds arising from </w:t>
      </w:r>
      <w:r w:rsidR="00AF0C1B" w:rsidRPr="00BD2206">
        <w:t xml:space="preserve">system restoration </w:t>
      </w:r>
      <w:r w:rsidRPr="00BD2206">
        <w:t xml:space="preserve">charges with other funds, and any other security interest that may apply to those funds will be terminated when they are transferred to a segregated account for an assignee or a financing party.  To the extent that </w:t>
      </w:r>
      <w:r w:rsidR="00AF0C1B" w:rsidRPr="00BD2206">
        <w:t xml:space="preserve">system restoration </w:t>
      </w:r>
      <w:r w:rsidRPr="00BD2206">
        <w:t>charges are not collected separately from other funds owed by REPs, the amounts to be remitted to such segregated account for an assignee or a financing party may be determined according to system-wide charge off percentages, collection curves or such other reasonable methods of estimation, as are set forth in the servicing agreement.</w:t>
      </w:r>
      <w:bookmarkStart w:id="1077" w:name="_Toc83702585"/>
      <w:bookmarkStart w:id="1078" w:name="_Toc83703030"/>
      <w:bookmarkStart w:id="1079" w:name="_Toc83703909"/>
      <w:bookmarkStart w:id="1080" w:name="_Toc83704167"/>
      <w:bookmarkStart w:id="1081" w:name="_Toc83704493"/>
      <w:bookmarkEnd w:id="1072"/>
      <w:bookmarkEnd w:id="1073"/>
      <w:bookmarkEnd w:id="1074"/>
      <w:bookmarkEnd w:id="1075"/>
      <w:bookmarkEnd w:id="1076"/>
    </w:p>
    <w:p w14:paraId="5731E5CC" w14:textId="77777777" w:rsidR="003631D6" w:rsidRPr="00BD2206" w:rsidRDefault="003631D6" w:rsidP="003631D6">
      <w:pPr>
        <w:pStyle w:val="COLNumbered"/>
      </w:pPr>
      <w:r w:rsidRPr="00BD2206">
        <w:t>As provided in PURA § 39.309(e), if transition property is transferred to an assignee, any proceeds of the transition property will be treated as held in trust for the assignee.</w:t>
      </w:r>
      <w:bookmarkStart w:id="1082" w:name="_Toc83702586"/>
      <w:bookmarkStart w:id="1083" w:name="_Toc83703031"/>
      <w:bookmarkStart w:id="1084" w:name="_Toc83703910"/>
      <w:bookmarkStart w:id="1085" w:name="_Toc83704168"/>
      <w:bookmarkStart w:id="1086" w:name="_Toc83704494"/>
      <w:bookmarkEnd w:id="1077"/>
      <w:bookmarkEnd w:id="1078"/>
      <w:bookmarkEnd w:id="1079"/>
      <w:bookmarkEnd w:id="1080"/>
      <w:bookmarkEnd w:id="1081"/>
    </w:p>
    <w:p w14:paraId="3049978E" w14:textId="77777777" w:rsidR="003631D6" w:rsidRPr="00BD2206" w:rsidRDefault="003631D6" w:rsidP="003631D6">
      <w:pPr>
        <w:pStyle w:val="COLNumbered"/>
      </w:pPr>
      <w:r w:rsidRPr="00BD2206">
        <w:t xml:space="preserve">As provided in PURA § 39.309(f), if a default or termination occurs under the </w:t>
      </w:r>
      <w:r w:rsidR="00AF0C1B" w:rsidRPr="00BD2206">
        <w:t xml:space="preserve">system restoration </w:t>
      </w:r>
      <w:r w:rsidRPr="00BD2206">
        <w:t xml:space="preserve">bonds, the financing parties or their representatives may foreclose on or otherwise enforce their lien and security interest in the relevant transition property as if they were secured parties under Chapter 9, Texas Business and Commerce Code, and, upon application by or on behalf of the financing parties, the Commission may order that amounts arising from the related </w:t>
      </w:r>
      <w:r w:rsidR="00AF0C1B" w:rsidRPr="00BD2206">
        <w:t xml:space="preserve">system restoration </w:t>
      </w:r>
      <w:r w:rsidRPr="00BD2206">
        <w:t>charges be transferred to a separate account for the financing parties’ benefit, to which their lien and security interest may apply.</w:t>
      </w:r>
      <w:bookmarkStart w:id="1087" w:name="_Toc83702587"/>
      <w:bookmarkStart w:id="1088" w:name="_Toc83703032"/>
      <w:bookmarkStart w:id="1089" w:name="_Toc83703911"/>
      <w:bookmarkStart w:id="1090" w:name="_Toc83704169"/>
      <w:bookmarkStart w:id="1091" w:name="_Toc83704495"/>
      <w:bookmarkEnd w:id="1082"/>
      <w:bookmarkEnd w:id="1083"/>
      <w:bookmarkEnd w:id="1084"/>
      <w:bookmarkEnd w:id="1085"/>
      <w:bookmarkEnd w:id="1086"/>
    </w:p>
    <w:p w14:paraId="1247F144" w14:textId="24C36D95" w:rsidR="003631D6" w:rsidRPr="00BD2206" w:rsidRDefault="003631D6" w:rsidP="003631D6">
      <w:pPr>
        <w:pStyle w:val="COLNumbered"/>
      </w:pPr>
      <w:r w:rsidRPr="00BD2206">
        <w:t xml:space="preserve">As provided in PURA § 39.309(f), if a default or termination occurs under the </w:t>
      </w:r>
      <w:r w:rsidR="00AF0C1B" w:rsidRPr="00BD2206">
        <w:t xml:space="preserve">system restoration </w:t>
      </w:r>
      <w:r w:rsidRPr="00BD2206">
        <w:t>bonds, on application by or on behalf of the financing parties, a district court of Travis County, Texas</w:t>
      </w:r>
      <w:r w:rsidR="00D670DC" w:rsidRPr="00BD2206">
        <w:t>,</w:t>
      </w:r>
      <w:r w:rsidRPr="00BD2206">
        <w:t xml:space="preserve"> shall order the sequestration and payment to those parties of revenues arising from the </w:t>
      </w:r>
      <w:r w:rsidR="00AF0C1B" w:rsidRPr="00BD2206">
        <w:t xml:space="preserve">system restoration </w:t>
      </w:r>
      <w:r w:rsidRPr="00BD2206">
        <w:t>charges.</w:t>
      </w:r>
      <w:bookmarkStart w:id="1092" w:name="_Toc83702588"/>
      <w:bookmarkStart w:id="1093" w:name="_Toc83703033"/>
      <w:bookmarkStart w:id="1094" w:name="_Toc83703912"/>
      <w:bookmarkStart w:id="1095" w:name="_Toc83704170"/>
      <w:bookmarkStart w:id="1096" w:name="_Toc83704496"/>
      <w:bookmarkEnd w:id="1087"/>
      <w:bookmarkEnd w:id="1088"/>
      <w:bookmarkEnd w:id="1089"/>
      <w:bookmarkEnd w:id="1090"/>
      <w:bookmarkEnd w:id="1091"/>
    </w:p>
    <w:p w14:paraId="6CFF6689" w14:textId="77777777" w:rsidR="003631D6" w:rsidRPr="00BD2206" w:rsidRDefault="003631D6" w:rsidP="003631D6">
      <w:pPr>
        <w:pStyle w:val="COLNumbered"/>
      </w:pPr>
      <w:r w:rsidRPr="00BD2206">
        <w:t xml:space="preserve">As provided by PURA § 39.310, the </w:t>
      </w:r>
      <w:r w:rsidR="00AF0C1B" w:rsidRPr="00BD2206">
        <w:t xml:space="preserve">system restoration </w:t>
      </w:r>
      <w:r w:rsidRPr="00BD2206">
        <w:t>bonds authorized by this Financing Order are not a debt or obligation of the State of Texas and are not a charge on its full faith and credit or taxing power.</w:t>
      </w:r>
      <w:bookmarkStart w:id="1097" w:name="_Toc83702589"/>
      <w:bookmarkStart w:id="1098" w:name="_Toc83703034"/>
      <w:bookmarkStart w:id="1099" w:name="_Toc83703913"/>
      <w:bookmarkStart w:id="1100" w:name="_Toc83704171"/>
      <w:bookmarkStart w:id="1101" w:name="_Toc83704497"/>
      <w:bookmarkEnd w:id="1092"/>
      <w:bookmarkEnd w:id="1093"/>
      <w:bookmarkEnd w:id="1094"/>
      <w:bookmarkEnd w:id="1095"/>
      <w:bookmarkEnd w:id="1096"/>
    </w:p>
    <w:p w14:paraId="1D0D95C0" w14:textId="3BFF4C21" w:rsidR="003631D6" w:rsidRPr="00BD2206" w:rsidRDefault="003631D6" w:rsidP="003631D6">
      <w:pPr>
        <w:pStyle w:val="COLNumbered"/>
      </w:pPr>
      <w:r w:rsidRPr="00BD2206">
        <w:t xml:space="preserve">Pursuant to PURA § 39.310, the State of Texas has pledged for the benefit and protection of all financing parties and </w:t>
      </w:r>
      <w:r w:rsidR="00DA6854" w:rsidRPr="00BD2206">
        <w:t>AEP Texas</w:t>
      </w:r>
      <w:r w:rsidRPr="00BD2206">
        <w:t xml:space="preserve">, that it will not take or permit any action that would impair the value of transition property, or, except as permitted by PURA § 39.307, reduce, alter or impair the </w:t>
      </w:r>
      <w:r w:rsidR="009761B6" w:rsidRPr="00BD2206">
        <w:t xml:space="preserve">system restoration </w:t>
      </w:r>
      <w:r w:rsidRPr="00BD2206">
        <w:t xml:space="preserve">charges to be imposed, collected, and remitted to any financing parties, until the principal, interest and premium, and any other charges incurred and contracts to be performed in connection with the </w:t>
      </w:r>
      <w:r w:rsidR="00AF0C1B" w:rsidRPr="00BD2206">
        <w:t xml:space="preserve">system restoration </w:t>
      </w:r>
      <w:r w:rsidRPr="00BD2206">
        <w:t xml:space="preserve">bonds have been paid and performed in full. </w:t>
      </w:r>
      <w:r w:rsidR="00D670DC" w:rsidRPr="00BD2206">
        <w:t xml:space="preserve"> A</w:t>
      </w:r>
      <w:r w:rsidRPr="00BD2206">
        <w:t xml:space="preserve"> </w:t>
      </w:r>
      <w:proofErr w:type="spellStart"/>
      <w:r w:rsidRPr="00BD2206">
        <w:t>BondCo</w:t>
      </w:r>
      <w:proofErr w:type="spellEnd"/>
      <w:r w:rsidRPr="00BD2206">
        <w:t xml:space="preserve">, in issuing </w:t>
      </w:r>
      <w:r w:rsidR="00AF0C1B" w:rsidRPr="00BD2206">
        <w:t xml:space="preserve">system restoration </w:t>
      </w:r>
      <w:r w:rsidRPr="00BD2206">
        <w:t xml:space="preserve">bonds, is authorized pursuant to PURA § 39.310 and this Financing Order to include this pledge in any documentation relating to the </w:t>
      </w:r>
      <w:r w:rsidR="00AF0C1B" w:rsidRPr="00BD2206">
        <w:t xml:space="preserve">system restoration </w:t>
      </w:r>
      <w:r w:rsidRPr="00BD2206">
        <w:t>bonds.</w:t>
      </w:r>
      <w:bookmarkStart w:id="1102" w:name="_Toc83702590"/>
      <w:bookmarkStart w:id="1103" w:name="_Toc83703035"/>
      <w:bookmarkStart w:id="1104" w:name="_Toc83703914"/>
      <w:bookmarkStart w:id="1105" w:name="_Toc83704172"/>
      <w:bookmarkStart w:id="1106" w:name="_Toc83704498"/>
      <w:bookmarkEnd w:id="1097"/>
      <w:bookmarkEnd w:id="1098"/>
      <w:bookmarkEnd w:id="1099"/>
      <w:bookmarkEnd w:id="1100"/>
      <w:bookmarkEnd w:id="1101"/>
    </w:p>
    <w:p w14:paraId="2D36A385" w14:textId="77777777" w:rsidR="003631D6" w:rsidRPr="00BD2206" w:rsidRDefault="003631D6" w:rsidP="003631D6">
      <w:pPr>
        <w:pStyle w:val="COLNumbered"/>
      </w:pPr>
      <w:r w:rsidRPr="00BD2206">
        <w:t xml:space="preserve">As provided in PURA § 39.311, transactions involving the transfer and ownership of the transition property and the receipt of </w:t>
      </w:r>
      <w:r w:rsidR="00AF0C1B" w:rsidRPr="00BD2206">
        <w:t xml:space="preserve">system restoration </w:t>
      </w:r>
      <w:r w:rsidRPr="00BD2206">
        <w:t>charges are exempt from state and local income, sales, franchise, gross receipts, and other taxes or similar charges.</w:t>
      </w:r>
      <w:bookmarkStart w:id="1107" w:name="_Toc83702591"/>
      <w:bookmarkStart w:id="1108" w:name="_Toc83703036"/>
      <w:bookmarkStart w:id="1109" w:name="_Toc83703915"/>
      <w:bookmarkStart w:id="1110" w:name="_Toc83704173"/>
      <w:bookmarkStart w:id="1111" w:name="_Toc83704499"/>
      <w:bookmarkEnd w:id="1102"/>
      <w:bookmarkEnd w:id="1103"/>
      <w:bookmarkEnd w:id="1104"/>
      <w:bookmarkEnd w:id="1105"/>
      <w:bookmarkEnd w:id="1106"/>
    </w:p>
    <w:p w14:paraId="242BE4B5" w14:textId="77777777" w:rsidR="003631D6" w:rsidRPr="00BD2206" w:rsidRDefault="003631D6" w:rsidP="003631D6">
      <w:pPr>
        <w:pStyle w:val="COLNumbered"/>
      </w:pPr>
      <w:r w:rsidRPr="00BD2206">
        <w:t xml:space="preserve">This Financing Order will remain in full force and effect and unabated notwithstanding the bankruptcy of </w:t>
      </w:r>
      <w:r w:rsidR="00DA6854" w:rsidRPr="00BD2206">
        <w:t>AEP Texas</w:t>
      </w:r>
      <w:r w:rsidRPr="00BD2206">
        <w:t>, its successors, or assignees.</w:t>
      </w:r>
      <w:bookmarkStart w:id="1112" w:name="_Toc83702592"/>
      <w:bookmarkStart w:id="1113" w:name="_Toc83703037"/>
      <w:bookmarkStart w:id="1114" w:name="_Toc83703916"/>
      <w:bookmarkStart w:id="1115" w:name="_Toc83704174"/>
      <w:bookmarkStart w:id="1116" w:name="_Toc83704500"/>
      <w:bookmarkEnd w:id="1107"/>
      <w:bookmarkEnd w:id="1108"/>
      <w:bookmarkEnd w:id="1109"/>
      <w:bookmarkEnd w:id="1110"/>
      <w:bookmarkEnd w:id="1111"/>
    </w:p>
    <w:p w14:paraId="42F1C0DB" w14:textId="77777777" w:rsidR="003631D6" w:rsidRPr="00BD2206" w:rsidRDefault="00DA6854" w:rsidP="003631D6">
      <w:pPr>
        <w:pStyle w:val="COLNumbered"/>
      </w:pPr>
      <w:r w:rsidRPr="00BD2206">
        <w:t>AEP Texas</w:t>
      </w:r>
      <w:r w:rsidR="003631D6" w:rsidRPr="00BD2206">
        <w:t xml:space="preserve"> retains sole discretion regarding whether or when to assign, sell or otherwise transfer the rights and interests created by this Financing Order or any interest therein, or to cause the issuance of any </w:t>
      </w:r>
      <w:r w:rsidR="00AF0C1B" w:rsidRPr="00BD2206">
        <w:t xml:space="preserve">system restoration </w:t>
      </w:r>
      <w:r w:rsidR="003631D6" w:rsidRPr="00BD2206">
        <w:t xml:space="preserve">bonds authorized by this Financing Order, subject to the right of the Commission, acting through its designated representative to participate in the structuring, pricing, and marketing of the </w:t>
      </w:r>
      <w:r w:rsidR="00AF0C1B" w:rsidRPr="00BD2206">
        <w:t xml:space="preserve">system restoration </w:t>
      </w:r>
      <w:r w:rsidR="003631D6" w:rsidRPr="00BD2206">
        <w:t>bonds, and the Commission’s authority through the issuance advice letter process to find that the proposed issuance does not comply with the requirements of PURA and this Financing Order.</w:t>
      </w:r>
      <w:bookmarkStart w:id="1117" w:name="_Toc83702593"/>
      <w:bookmarkStart w:id="1118" w:name="_Toc83703038"/>
      <w:bookmarkStart w:id="1119" w:name="_Toc83703917"/>
      <w:bookmarkStart w:id="1120" w:name="_Toc83704175"/>
      <w:bookmarkStart w:id="1121" w:name="_Toc83704501"/>
      <w:bookmarkEnd w:id="1112"/>
      <w:bookmarkEnd w:id="1113"/>
      <w:bookmarkEnd w:id="1114"/>
      <w:bookmarkEnd w:id="1115"/>
      <w:bookmarkEnd w:id="1116"/>
    </w:p>
    <w:p w14:paraId="4F8067E0" w14:textId="77777777" w:rsidR="003631D6" w:rsidRPr="00BD2206" w:rsidRDefault="003631D6" w:rsidP="003631D6">
      <w:pPr>
        <w:pStyle w:val="COLNumbered"/>
      </w:pPr>
      <w:r w:rsidRPr="00BD2206">
        <w:t>This Financing Order is final, is not subject to rehearing by this Commission, and is not subject to review or appeal except as expressly provided in PURA §</w:t>
      </w:r>
      <w:r w:rsidR="00AF0C1B" w:rsidRPr="00BD2206">
        <w:t>§ 36.405(g) and</w:t>
      </w:r>
      <w:r w:rsidRPr="00BD2206">
        <w:t xml:space="preserve"> 39.303(f).  The finality of this Financing Order is not impaired in any manner by the participation of the Commission through its designated representative in any decisions related to issuance of the </w:t>
      </w:r>
      <w:r w:rsidR="00AF0C1B" w:rsidRPr="00BD2206">
        <w:t xml:space="preserve">system restoration </w:t>
      </w:r>
      <w:r w:rsidRPr="00BD2206">
        <w:t>bonds or by the Commission’s review of or issuance of an order related to the issuance advice letter required to be filed with the Commission by this Financing Order.</w:t>
      </w:r>
      <w:bookmarkStart w:id="1122" w:name="_Toc83702594"/>
      <w:bookmarkStart w:id="1123" w:name="_Toc83703039"/>
      <w:bookmarkStart w:id="1124" w:name="_Toc83703918"/>
      <w:bookmarkStart w:id="1125" w:name="_Toc83704176"/>
      <w:bookmarkStart w:id="1126" w:name="_Toc83704502"/>
      <w:bookmarkEnd w:id="1117"/>
      <w:bookmarkEnd w:id="1118"/>
      <w:bookmarkEnd w:id="1119"/>
      <w:bookmarkEnd w:id="1120"/>
      <w:bookmarkEnd w:id="1121"/>
    </w:p>
    <w:p w14:paraId="0C1DDFCF" w14:textId="77777777" w:rsidR="003631D6" w:rsidRPr="00BD2206" w:rsidRDefault="003631D6" w:rsidP="003631D6">
      <w:pPr>
        <w:pStyle w:val="COLNumbered"/>
      </w:pPr>
      <w:r w:rsidRPr="00BD2206">
        <w:t xml:space="preserve">This Financing Order meets the requirements for a financing order under </w:t>
      </w:r>
      <w:r w:rsidR="00AF0C1B" w:rsidRPr="00BD2206">
        <w:t xml:space="preserve">Subchapter I of Chapter 36 and </w:t>
      </w:r>
      <w:r w:rsidRPr="00BD2206">
        <w:t>Subchapter G of Chapter 39 of PURA.</w:t>
      </w:r>
      <w:bookmarkEnd w:id="1122"/>
      <w:bookmarkEnd w:id="1123"/>
      <w:bookmarkEnd w:id="1124"/>
      <w:bookmarkEnd w:id="1125"/>
      <w:bookmarkEnd w:id="1126"/>
    </w:p>
    <w:p w14:paraId="711FBD19" w14:textId="2C1FC700" w:rsidR="003631D6" w:rsidRPr="00BD2206" w:rsidRDefault="003631D6" w:rsidP="003631D6">
      <w:pPr>
        <w:pStyle w:val="COLNumbered"/>
      </w:pPr>
      <w:r w:rsidRPr="00BD2206">
        <w:t xml:space="preserve">The true-up mechanism, and all other obligations of the State of Texas and the Commission set forth in this Financing Order, are direct, explicit, irrevocable and unconditional upon issuance of the </w:t>
      </w:r>
      <w:r w:rsidR="00AF0C1B" w:rsidRPr="00BD2206">
        <w:t xml:space="preserve">system restoration </w:t>
      </w:r>
      <w:r w:rsidRPr="00BD2206">
        <w:t>bonds and are legally enforceable against the State of Texas and the Commission</w:t>
      </w:r>
      <w:r w:rsidR="00E42ED9" w:rsidRPr="00BD2206">
        <w:t xml:space="preserve"> in accordance with Texas law</w:t>
      </w:r>
      <w:r w:rsidRPr="00BD2206">
        <w:t>.</w:t>
      </w:r>
    </w:p>
    <w:p w14:paraId="2B9A7CB4" w14:textId="77777777" w:rsidR="003631D6" w:rsidRPr="00BD2206" w:rsidRDefault="003631D6" w:rsidP="003631D6">
      <w:pPr>
        <w:pStyle w:val="COLNumbered"/>
      </w:pPr>
      <w:r w:rsidRPr="00BD2206">
        <w:t>The requirements for informal disposition pursuant to P.U.C. PROC. R. 22.35 have been met in this proceeding except for subsection (b)(2) that requires the proposed order to be served on all parties no less than 20 days before the Commission is scheduled to consider the application in an open meeting.  Under P.U.C. PROC. R. 22.5(b), good cause exists to waive the requirements of P.U.C. PROC. R. 22.35, subsection (b)(2</w:t>
      </w:r>
      <w:r w:rsidR="00AE2D8B" w:rsidRPr="00BD2206">
        <w:t>)</w:t>
      </w:r>
      <w:r w:rsidRPr="00BD2206">
        <w:t>.</w:t>
      </w:r>
    </w:p>
    <w:p w14:paraId="60AEE1B3" w14:textId="77777777" w:rsidR="003631D6" w:rsidRPr="00BD2206" w:rsidRDefault="00F56DCC" w:rsidP="005F1EE2">
      <w:pPr>
        <w:pStyle w:val="Heading1"/>
      </w:pPr>
      <w:bookmarkStart w:id="1127" w:name="_Toc158028419"/>
      <w:bookmarkStart w:id="1128" w:name="_Toc88378164"/>
      <w:bookmarkStart w:id="1129" w:name="_Toc88379136"/>
      <w:bookmarkStart w:id="1130" w:name="_Toc88379358"/>
      <w:bookmarkStart w:id="1131" w:name="_Toc88379578"/>
      <w:bookmarkStart w:id="1132" w:name="_Toc88379796"/>
      <w:bookmarkStart w:id="1133" w:name="_Toc88379984"/>
      <w:bookmarkStart w:id="1134" w:name="_Toc88380162"/>
      <w:bookmarkStart w:id="1135" w:name="_Toc88380292"/>
      <w:bookmarkStart w:id="1136" w:name="_Toc88380454"/>
      <w:bookmarkStart w:id="1137" w:name="_Toc88380546"/>
      <w:bookmarkStart w:id="1138" w:name="_Toc88380638"/>
      <w:bookmarkStart w:id="1139" w:name="_Toc97535685"/>
      <w:bookmarkStart w:id="1140" w:name="_Toc177539470"/>
      <w:r w:rsidRPr="00BD2206">
        <w:t xml:space="preserve">  </w:t>
      </w:r>
      <w:bookmarkStart w:id="1141" w:name="_Toc2778518"/>
      <w:r w:rsidRPr="00BD2206">
        <w:t>O</w:t>
      </w:r>
      <w:bookmarkEnd w:id="1127"/>
      <w:r w:rsidRPr="00BD2206">
        <w:t>rdering Paragraphs</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p>
    <w:p w14:paraId="301587D7" w14:textId="77777777" w:rsidR="003631D6" w:rsidRPr="00BD2206" w:rsidRDefault="003631D6" w:rsidP="003631D6">
      <w:pPr>
        <w:pStyle w:val="BodyText"/>
      </w:pPr>
      <w:r w:rsidRPr="00BD2206">
        <w:t>Based upon the record, the Findings of Fact and Conclusions of Law set forth herein, and for the reasons stated above, this Commission orders:</w:t>
      </w:r>
    </w:p>
    <w:p w14:paraId="45090797" w14:textId="77777777" w:rsidR="003631D6" w:rsidRPr="00BD2206" w:rsidRDefault="005F1EE2" w:rsidP="005F1EE2">
      <w:pPr>
        <w:pStyle w:val="Heading2"/>
      </w:pPr>
      <w:bookmarkStart w:id="1142" w:name="_Toc97535686"/>
      <w:bookmarkStart w:id="1143" w:name="_Toc158028420"/>
      <w:bookmarkStart w:id="1144" w:name="_Toc177539471"/>
      <w:bookmarkStart w:id="1145" w:name="_Toc88378165"/>
      <w:bookmarkStart w:id="1146" w:name="_Toc88379137"/>
      <w:bookmarkStart w:id="1147" w:name="_Toc88379359"/>
      <w:bookmarkStart w:id="1148" w:name="_Toc88379579"/>
      <w:bookmarkStart w:id="1149" w:name="_Toc88379797"/>
      <w:bookmarkStart w:id="1150" w:name="_Toc88379985"/>
      <w:bookmarkStart w:id="1151" w:name="_Toc88380163"/>
      <w:r w:rsidRPr="00BD2206">
        <w:t xml:space="preserve">  </w:t>
      </w:r>
      <w:bookmarkStart w:id="1152" w:name="_Toc2778519"/>
      <w:r w:rsidR="003631D6" w:rsidRPr="00BD2206">
        <w:t>Approval</w:t>
      </w:r>
      <w:bookmarkEnd w:id="1142"/>
      <w:bookmarkEnd w:id="1143"/>
      <w:bookmarkEnd w:id="1144"/>
      <w:bookmarkEnd w:id="1152"/>
    </w:p>
    <w:p w14:paraId="06750673" w14:textId="3317F02B" w:rsidR="003631D6" w:rsidRPr="00BD2206" w:rsidRDefault="003631D6" w:rsidP="003631D6">
      <w:pPr>
        <w:pStyle w:val="OrderingNumbered"/>
      </w:pPr>
      <w:r w:rsidRPr="00BD2206">
        <w:rPr>
          <w:b/>
        </w:rPr>
        <w:t>Approval of Application</w:t>
      </w:r>
      <w:r w:rsidRPr="00BD2206">
        <w:t xml:space="preserve">. </w:t>
      </w:r>
      <w:bookmarkEnd w:id="1145"/>
      <w:bookmarkEnd w:id="1146"/>
      <w:bookmarkEnd w:id="1147"/>
      <w:bookmarkEnd w:id="1148"/>
      <w:bookmarkEnd w:id="1149"/>
      <w:bookmarkEnd w:id="1150"/>
      <w:bookmarkEnd w:id="1151"/>
      <w:r w:rsidRPr="00BD2206">
        <w:t xml:space="preserve">The application of AEP Texas for the issuance of a financing order under PURA </w:t>
      </w:r>
      <w:r w:rsidR="003E603C" w:rsidRPr="00BD2206">
        <w:t xml:space="preserve">§§ 36.403 and 39.303 </w:t>
      </w:r>
      <w:r w:rsidRPr="00BD2206">
        <w:t>is approved, as provided in this Financing Order.</w:t>
      </w:r>
    </w:p>
    <w:p w14:paraId="52850E0B" w14:textId="281B511D" w:rsidR="003631D6" w:rsidRPr="00BD2206" w:rsidRDefault="003631D6" w:rsidP="003631D6">
      <w:pPr>
        <w:pStyle w:val="OrderingNumbered"/>
      </w:pPr>
      <w:r w:rsidRPr="00BD2206">
        <w:rPr>
          <w:b/>
        </w:rPr>
        <w:t>A</w:t>
      </w:r>
      <w:r w:rsidRPr="00BD2206">
        <w:rPr>
          <w:b/>
          <w:bCs/>
        </w:rPr>
        <w:t xml:space="preserve">uthority to Securitize. </w:t>
      </w:r>
      <w:r w:rsidR="003E603C" w:rsidRPr="00BD2206">
        <w:t xml:space="preserve">AEP Texas is authorized in accordance with this Financing Order to securitize and to cause the issuance of system restoration bonds with a principal amount equal to the sum of (a) the </w:t>
      </w:r>
      <w:proofErr w:type="spellStart"/>
      <w:r w:rsidR="003E603C" w:rsidRPr="00BD2206">
        <w:t>Securitizable</w:t>
      </w:r>
      <w:proofErr w:type="spellEnd"/>
      <w:r w:rsidR="003E603C" w:rsidRPr="00BD2206">
        <w:t xml:space="preserve"> Balance at the time the system restoration bonds are issued plus (b) up-front qualified costs</w:t>
      </w:r>
      <w:r w:rsidR="0072348A" w:rsidRPr="00BD2206">
        <w:t xml:space="preserve"> not to exceed </w:t>
      </w:r>
      <w:r w:rsidR="00D12B94" w:rsidRPr="00BD2206">
        <w:t>$</w:t>
      </w:r>
      <w:r w:rsidR="00995C05" w:rsidRPr="00BD2206">
        <w:t>4.</w:t>
      </w:r>
      <w:r w:rsidR="002A13B9" w:rsidRPr="00BD2206">
        <w:t>4</w:t>
      </w:r>
      <w:r w:rsidR="00995C05" w:rsidRPr="00BD2206">
        <w:t xml:space="preserve"> million </w:t>
      </w:r>
      <w:r w:rsidR="003E603C" w:rsidRPr="00BD2206">
        <w:t>plus (</w:t>
      </w:r>
      <w:r w:rsidR="002A136F" w:rsidRPr="00BD2206">
        <w:t>i</w:t>
      </w:r>
      <w:r w:rsidR="003E603C" w:rsidRPr="00BD2206">
        <w:t>) the cost of original issue discount, credit enhancements and other arrangements to enhance marketability as discussed in Ordering Paragraphs 6 and 23, (i</w:t>
      </w:r>
      <w:r w:rsidR="002A136F" w:rsidRPr="00BD2206">
        <w:t>i</w:t>
      </w:r>
      <w:r w:rsidR="003E603C" w:rsidRPr="00BD2206">
        <w:t>) the cost of the Commission’s financial advisor, if any, and any additional costs incurred by AEP Texas to comply with the requests and recommendations of the Commission’s financial advisor, and (i</w:t>
      </w:r>
      <w:r w:rsidR="0072348A" w:rsidRPr="00BD2206">
        <w:t>ii</w:t>
      </w:r>
      <w:r w:rsidR="003E603C" w:rsidRPr="00BD2206">
        <w:t>) any costs incurred by AEP Texas if this Financing Order is appealed</w:t>
      </w:r>
      <w:bookmarkStart w:id="1153" w:name="_cp_text_1_546"/>
      <w:r w:rsidR="007F1F21" w:rsidRPr="00BD2206">
        <w:t xml:space="preserve">; however, </w:t>
      </w:r>
      <w:r w:rsidR="0072348A" w:rsidRPr="00BD2206">
        <w:t xml:space="preserve">no component of up-front qualified costs will be subject to an individual cap, and </w:t>
      </w:r>
      <w:r w:rsidR="007F1F21" w:rsidRPr="00BD2206">
        <w:t xml:space="preserve">should actual SEC registration fees, underwriters’ fees, or rating agency fees exceed the estimates of those items stated in Appendix C, AEP Texas is authorized to increase the overall cap in clause (i) above to adjust for such increases so long as AEP Texas can demonstrate through the Issuance Advice Letter process that the securitization will continue to satisfy the </w:t>
      </w:r>
      <w:r w:rsidR="00122F98" w:rsidRPr="00BD2206">
        <w:t>financial tests</w:t>
      </w:r>
      <w:r w:rsidR="007F1F21" w:rsidRPr="00BD2206">
        <w:t xml:space="preserve"> set forth in PURA and this </w:t>
      </w:r>
      <w:r w:rsidR="0072348A" w:rsidRPr="00BD2206">
        <w:t>F</w:t>
      </w:r>
      <w:r w:rsidR="007F1F21" w:rsidRPr="00BD2206">
        <w:t xml:space="preserve">inancing </w:t>
      </w:r>
      <w:r w:rsidR="0072348A" w:rsidRPr="00BD2206">
        <w:t>O</w:t>
      </w:r>
      <w:r w:rsidR="007F1F21" w:rsidRPr="00BD2206">
        <w:t>rder</w:t>
      </w:r>
      <w:bookmarkEnd w:id="1153"/>
      <w:r w:rsidR="003E603C" w:rsidRPr="00BD2206">
        <w:t>.  The “</w:t>
      </w:r>
      <w:proofErr w:type="spellStart"/>
      <w:r w:rsidR="003E603C" w:rsidRPr="00BD2206">
        <w:t>Securitizable</w:t>
      </w:r>
      <w:proofErr w:type="spellEnd"/>
      <w:r w:rsidR="003E603C" w:rsidRPr="00BD2206">
        <w:t xml:space="preserve"> Balance” as of any given date is equal to the balance of distribution-related system restoration costs as determined in Docket No. 48577 plus carrying costs accruing </w:t>
      </w:r>
      <w:r w:rsidR="00D12B94" w:rsidRPr="00BD2206">
        <w:t xml:space="preserve">on that balance </w:t>
      </w:r>
      <w:r w:rsidR="003E603C" w:rsidRPr="00BD2206">
        <w:t xml:space="preserve">at </w:t>
      </w:r>
      <w:r w:rsidR="002D78C1" w:rsidRPr="00BD2206">
        <w:t xml:space="preserve">7.4992% </w:t>
      </w:r>
      <w:r w:rsidR="003E603C" w:rsidRPr="00BD2206">
        <w:t>through the date the system restoration bonds are issued and minus all insurance proceeds, government grants and other sources of funding that compensate AEP Texas for the distribution-related system restoration costs</w:t>
      </w:r>
      <w:r w:rsidR="00556846" w:rsidRPr="00BD2206">
        <w:t xml:space="preserve"> received by AEP Texas at the time of the application for this Financing Order</w:t>
      </w:r>
      <w:r w:rsidR="0061503F" w:rsidRPr="00BD2206">
        <w:t>, and a further offset utilizing certain prescribed excess unprotected ADFIT,</w:t>
      </w:r>
      <w:r w:rsidR="003E603C" w:rsidRPr="00BD2206">
        <w:t xml:space="preserve"> </w:t>
      </w:r>
      <w:r w:rsidR="002D31CC" w:rsidRPr="00BD2206">
        <w:t xml:space="preserve">all as </w:t>
      </w:r>
      <w:r w:rsidR="003E603C" w:rsidRPr="00BD2206">
        <w:t>determined in Docket No. 48577.  If the actual up-front qualified costs are less than the up-front qualified costs included in the principal amount securitized, the Periodic Billing Requirement for the first annual true-up adjustment shall be reduced by the amount of such unused funds (together with interest, if any, earned from the investment of such funds).  If the final up-front qualified costs are more than the up-front qualified costs included in the principal amount securitized, AEP Texas may request recovery of the remaining up-front qualified costs through a surcharge to AEP Texas’ rates for service at distribution voltage; provided, however, AEP Texas may not request recovery of amounts that would cause the aggregate recoverable amounts for such costs to exceed the cap on up-front qualified costs set forth in this Financing Order</w:t>
      </w:r>
      <w:r w:rsidRPr="00BD2206">
        <w:rPr>
          <w:szCs w:val="24"/>
        </w:rPr>
        <w:t>.</w:t>
      </w:r>
      <w:r w:rsidRPr="00BD2206">
        <w:rPr>
          <w:b/>
          <w:bCs/>
        </w:rPr>
        <w:t xml:space="preserve">  </w:t>
      </w:r>
    </w:p>
    <w:p w14:paraId="5578928A" w14:textId="112AAF4A" w:rsidR="003E603C" w:rsidRPr="00BD2206" w:rsidRDefault="003E603C" w:rsidP="003631D6">
      <w:pPr>
        <w:pStyle w:val="OrderingNumbered"/>
      </w:pPr>
      <w:r w:rsidRPr="00BD2206">
        <w:rPr>
          <w:b/>
        </w:rPr>
        <w:t>Accumulated Deferred Federal Income Tax</w:t>
      </w:r>
      <w:r w:rsidR="008529F3" w:rsidRPr="00BD2206">
        <w:rPr>
          <w:b/>
        </w:rPr>
        <w:t xml:space="preserve"> Benefit</w:t>
      </w:r>
      <w:r w:rsidRPr="00BD2206">
        <w:rPr>
          <w:b/>
        </w:rPr>
        <w:t>.</w:t>
      </w:r>
      <w:r w:rsidRPr="00BD2206">
        <w:t xml:space="preserve">  AEP Texas shall calculate and place into effect, </w:t>
      </w:r>
      <w:r w:rsidR="0019238E" w:rsidRPr="00BD2206">
        <w:t xml:space="preserve">contemporaneous with the implementation of System Restoration Charges, </w:t>
      </w:r>
      <w:r w:rsidRPr="00BD2206">
        <w:t xml:space="preserve">the ADFIT Credit </w:t>
      </w:r>
      <w:r w:rsidR="0019238E" w:rsidRPr="00BD2206">
        <w:t xml:space="preserve">Rider </w:t>
      </w:r>
      <w:r w:rsidRPr="00BD2206">
        <w:t xml:space="preserve">as described in </w:t>
      </w:r>
      <w:r w:rsidR="00894D13" w:rsidRPr="00BD2206">
        <w:t>F</w:t>
      </w:r>
      <w:r w:rsidRPr="00BD2206">
        <w:t xml:space="preserve">inding of </w:t>
      </w:r>
      <w:r w:rsidR="00894D13" w:rsidRPr="00BD2206">
        <w:t>F</w:t>
      </w:r>
      <w:r w:rsidRPr="00BD2206">
        <w:t xml:space="preserve">act </w:t>
      </w:r>
      <w:r w:rsidR="0052135F">
        <w:t xml:space="preserve">Nos. </w:t>
      </w:r>
      <w:r w:rsidR="0019238E" w:rsidRPr="00BD2206">
        <w:t>16-19</w:t>
      </w:r>
      <w:r w:rsidRPr="00BD2206">
        <w:t xml:space="preserve">.  </w:t>
      </w:r>
      <w:r w:rsidR="0019238E" w:rsidRPr="00BD2206">
        <w:t>T</w:t>
      </w:r>
      <w:r w:rsidRPr="00BD2206">
        <w:t>he ADFIT Credit</w:t>
      </w:r>
      <w:r w:rsidR="0019238E" w:rsidRPr="00BD2206">
        <w:t xml:space="preserve"> Rider </w:t>
      </w:r>
      <w:r w:rsidRPr="00BD2206">
        <w:t xml:space="preserve">shall be </w:t>
      </w:r>
      <w:r w:rsidR="0019238E" w:rsidRPr="00BD2206">
        <w:t>subject to adjustment, as necessary</w:t>
      </w:r>
      <w:r w:rsidR="00221DF6" w:rsidRPr="00BD2206">
        <w:t>,</w:t>
      </w:r>
      <w:r w:rsidR="0019238E" w:rsidRPr="00BD2206">
        <w:t xml:space="preserve"> to </w:t>
      </w:r>
      <w:r w:rsidR="00D1684D" w:rsidRPr="00BD2206">
        <w:t xml:space="preserve">accurately </w:t>
      </w:r>
      <w:r w:rsidR="003931A6" w:rsidRPr="00BD2206">
        <w:t xml:space="preserve">reflect the amount of ADFIT </w:t>
      </w:r>
      <w:r w:rsidR="008529F3" w:rsidRPr="00BD2206">
        <w:t xml:space="preserve">benefit </w:t>
      </w:r>
      <w:r w:rsidR="003931A6" w:rsidRPr="00BD2206">
        <w:t xml:space="preserve">available over the period of the rider’s existence, </w:t>
      </w:r>
      <w:r w:rsidRPr="00BD2206">
        <w:t xml:space="preserve">through a filing submitted by AEP Texas at the same time it submits </w:t>
      </w:r>
      <w:r w:rsidR="003931A6" w:rsidRPr="00BD2206">
        <w:t xml:space="preserve">its periodic </w:t>
      </w:r>
      <w:r w:rsidRPr="00BD2206">
        <w:t xml:space="preserve">system restoration charge </w:t>
      </w:r>
      <w:r w:rsidR="003931A6" w:rsidRPr="00BD2206">
        <w:t xml:space="preserve">true-up </w:t>
      </w:r>
      <w:r w:rsidRPr="00BD2206">
        <w:t>adjustment filing</w:t>
      </w:r>
      <w:r w:rsidR="003931A6" w:rsidRPr="00BD2206">
        <w:t xml:space="preserve">s.  Implementation and adjustment of the ADFIT Credit Rider shall </w:t>
      </w:r>
      <w:r w:rsidRPr="00BD2206">
        <w:t>us</w:t>
      </w:r>
      <w:r w:rsidR="003931A6" w:rsidRPr="00BD2206">
        <w:t>e</w:t>
      </w:r>
      <w:r w:rsidRPr="00BD2206">
        <w:t xml:space="preserve"> the same allocation factors and billing determinants as the system restoration charge </w:t>
      </w:r>
      <w:r w:rsidR="00831B62" w:rsidRPr="00BD2206">
        <w:t xml:space="preserve">implementation and </w:t>
      </w:r>
      <w:r w:rsidR="003931A6" w:rsidRPr="00BD2206">
        <w:t xml:space="preserve">true-up </w:t>
      </w:r>
      <w:r w:rsidRPr="00BD2206">
        <w:t>adjustment filing</w:t>
      </w:r>
      <w:r w:rsidR="003931A6" w:rsidRPr="00BD2206">
        <w:t>s</w:t>
      </w:r>
      <w:r w:rsidRPr="00BD2206">
        <w:t xml:space="preserve">.  </w:t>
      </w:r>
      <w:r w:rsidR="008529F3" w:rsidRPr="00BD2206">
        <w:t xml:space="preserve">The </w:t>
      </w:r>
      <w:r w:rsidRPr="00BD2206">
        <w:t xml:space="preserve">ADFIT benefits associated with such system restoration costs shall not be applied to reduce the </w:t>
      </w:r>
      <w:proofErr w:type="spellStart"/>
      <w:r w:rsidRPr="00BD2206">
        <w:t>Securitizable</w:t>
      </w:r>
      <w:proofErr w:type="spellEnd"/>
      <w:r w:rsidRPr="00BD2206">
        <w:t xml:space="preserve"> Balance</w:t>
      </w:r>
      <w:r w:rsidR="008529F3" w:rsidRPr="00BD2206">
        <w:t xml:space="preserve">, nor shall the ADFIT balance associated with such system restoration costs be used </w:t>
      </w:r>
      <w:r w:rsidRPr="00BD2206">
        <w:t xml:space="preserve">to reduce rate base in future proceedings.  The ADFIT Credit </w:t>
      </w:r>
      <w:r w:rsidR="003931A6" w:rsidRPr="00BD2206">
        <w:t xml:space="preserve">Rider </w:t>
      </w:r>
      <w:r w:rsidRPr="00BD2206">
        <w:t xml:space="preserve">and obligation to provide the ADFIT Credit shall not be transferred to the special purpose entity being created to issue the bonds, shall not be or become “transition property” as defined in PURA § 39.302(8) but shall be and remain a separate </w:t>
      </w:r>
      <w:proofErr w:type="spellStart"/>
      <w:r w:rsidRPr="00BD2206">
        <w:t>unsecuritized</w:t>
      </w:r>
      <w:proofErr w:type="spellEnd"/>
      <w:r w:rsidRPr="00BD2206">
        <w:t xml:space="preserve"> rate credit of AEP Texas.</w:t>
      </w:r>
    </w:p>
    <w:p w14:paraId="0D9A8A1C" w14:textId="023C7836" w:rsidR="003631D6" w:rsidRPr="00BD2206" w:rsidRDefault="003631D6" w:rsidP="003631D6">
      <w:pPr>
        <w:pStyle w:val="OrderingNumbered"/>
      </w:pPr>
      <w:bookmarkStart w:id="1154" w:name="_Toc88378167"/>
      <w:bookmarkStart w:id="1155" w:name="_Toc88379139"/>
      <w:bookmarkStart w:id="1156" w:name="_Toc88379361"/>
      <w:bookmarkStart w:id="1157" w:name="_Toc88379581"/>
      <w:bookmarkStart w:id="1158" w:name="_Toc88379799"/>
      <w:bookmarkStart w:id="1159" w:name="_Toc88379987"/>
      <w:bookmarkStart w:id="1160" w:name="_Toc88380165"/>
      <w:r w:rsidRPr="00BD2206">
        <w:rPr>
          <w:b/>
        </w:rPr>
        <w:t xml:space="preserve">Recovery of </w:t>
      </w:r>
      <w:r w:rsidR="009761B6" w:rsidRPr="00BD2206">
        <w:rPr>
          <w:b/>
        </w:rPr>
        <w:t xml:space="preserve">System Restoration </w:t>
      </w:r>
      <w:r w:rsidRPr="00BD2206">
        <w:rPr>
          <w:b/>
        </w:rPr>
        <w:t xml:space="preserve">Charges. </w:t>
      </w:r>
      <w:bookmarkEnd w:id="1154"/>
      <w:bookmarkEnd w:id="1155"/>
      <w:bookmarkEnd w:id="1156"/>
      <w:bookmarkEnd w:id="1157"/>
      <w:bookmarkEnd w:id="1158"/>
      <w:bookmarkEnd w:id="1159"/>
      <w:bookmarkEnd w:id="1160"/>
      <w:r w:rsidR="00DA6854" w:rsidRPr="00BD2206">
        <w:t>AEP Texas</w:t>
      </w:r>
      <w:r w:rsidRPr="00BD2206">
        <w:t xml:space="preserve"> shall impose on, and the servicer shall collect from, REPs serving all existing and future retail </w:t>
      </w:r>
      <w:r w:rsidR="00824E79" w:rsidRPr="00BD2206">
        <w:t>customers</w:t>
      </w:r>
      <w:r w:rsidRPr="00BD2206">
        <w:t xml:space="preserve"> located within </w:t>
      </w:r>
      <w:r w:rsidR="00DA6854" w:rsidRPr="00BD2206">
        <w:t>AEP Texas</w:t>
      </w:r>
      <w:r w:rsidR="00122BE7" w:rsidRPr="00BD2206">
        <w:t>’</w:t>
      </w:r>
      <w:r w:rsidRPr="00BD2206">
        <w:t xml:space="preserve"> </w:t>
      </w:r>
      <w:r w:rsidR="00B62CC6" w:rsidRPr="00BD2206">
        <w:t>C</w:t>
      </w:r>
      <w:r w:rsidR="0061503F" w:rsidRPr="00BD2206">
        <w:t xml:space="preserve">entral </w:t>
      </w:r>
      <w:r w:rsidR="00B62CC6" w:rsidRPr="00BD2206">
        <w:t>D</w:t>
      </w:r>
      <w:r w:rsidR="0061503F" w:rsidRPr="00BD2206">
        <w:t xml:space="preserve">ivision </w:t>
      </w:r>
      <w:r w:rsidRPr="00BD2206">
        <w:t xml:space="preserve">service area as it </w:t>
      </w:r>
      <w:r w:rsidR="00A63BE1" w:rsidRPr="00BD2206">
        <w:t>exists</w:t>
      </w:r>
      <w:r w:rsidRPr="00BD2206">
        <w:t xml:space="preserve"> on </w:t>
      </w:r>
      <w:r w:rsidR="00A63BE1" w:rsidRPr="00BD2206">
        <w:t>the date of this Financing Order</w:t>
      </w:r>
      <w:r w:rsidRPr="00BD2206">
        <w:t xml:space="preserve"> and other entities which, under the terms of this order or the tariffs approved hereby, are required to bill, pay or collect </w:t>
      </w:r>
      <w:r w:rsidR="003E603C" w:rsidRPr="00BD2206">
        <w:t xml:space="preserve">system restoration </w:t>
      </w:r>
      <w:r w:rsidRPr="00BD2206">
        <w:t xml:space="preserve">charges, as provided in this Financing Order, </w:t>
      </w:r>
      <w:r w:rsidR="003E603C" w:rsidRPr="00BD2206">
        <w:t xml:space="preserve">system restoration </w:t>
      </w:r>
      <w:r w:rsidRPr="00BD2206">
        <w:t xml:space="preserve">charges in an amount sufficient to provide for the timely recovery of its aggregate qualified costs detailed in this Financing Order (including payment of principal and interest on the </w:t>
      </w:r>
      <w:r w:rsidR="003E603C" w:rsidRPr="00BD2206">
        <w:t xml:space="preserve">system restoration </w:t>
      </w:r>
      <w:r w:rsidRPr="00BD2206">
        <w:t>bonds).</w:t>
      </w:r>
      <w:bookmarkStart w:id="1161" w:name="_Hlt471187435"/>
      <w:bookmarkEnd w:id="1161"/>
      <w:r w:rsidRPr="00BD2206">
        <w:t xml:space="preserve">  REPs and other entities responsible for collecting </w:t>
      </w:r>
      <w:r w:rsidR="003E603C" w:rsidRPr="00BD2206">
        <w:t xml:space="preserve">system restoration </w:t>
      </w:r>
      <w:r w:rsidRPr="00BD2206">
        <w:t xml:space="preserve">charges from retail </w:t>
      </w:r>
      <w:r w:rsidR="00824E79" w:rsidRPr="00BD2206">
        <w:t>customers</w:t>
      </w:r>
      <w:r w:rsidRPr="00BD2206">
        <w:t xml:space="preserve"> under this Financing Order shall pay the </w:t>
      </w:r>
      <w:r w:rsidR="003E603C" w:rsidRPr="00BD2206">
        <w:t xml:space="preserve">system restoration </w:t>
      </w:r>
      <w:r w:rsidRPr="00BD2206">
        <w:t xml:space="preserve">charges billed to them whether or not they collect the </w:t>
      </w:r>
      <w:r w:rsidR="003E603C" w:rsidRPr="00BD2206">
        <w:t xml:space="preserve">system restoration </w:t>
      </w:r>
      <w:r w:rsidRPr="00BD2206">
        <w:t xml:space="preserve">charges from their retail </w:t>
      </w:r>
      <w:r w:rsidR="00824E79" w:rsidRPr="00BD2206">
        <w:t>customers</w:t>
      </w:r>
      <w:r w:rsidRPr="00BD2206">
        <w:t>.</w:t>
      </w:r>
    </w:p>
    <w:p w14:paraId="7CB0FCB4" w14:textId="77777777" w:rsidR="003631D6" w:rsidRPr="00BD2206" w:rsidRDefault="003631D6" w:rsidP="003631D6">
      <w:pPr>
        <w:pStyle w:val="OrderingNumbered"/>
      </w:pPr>
      <w:r w:rsidRPr="00BD2206">
        <w:rPr>
          <w:b/>
        </w:rPr>
        <w:t>Provision of Information.</w:t>
      </w:r>
      <w:r w:rsidRPr="00BD2206">
        <w:t xml:space="preserve">  </w:t>
      </w:r>
      <w:r w:rsidR="00DA6854" w:rsidRPr="00BD2206">
        <w:t>AEP Texas</w:t>
      </w:r>
      <w:r w:rsidRPr="00BD2206">
        <w:t xml:space="preserve"> shall take all necessary steps to ensure that the Commission or its designated representative is provided sufficient and timely information to allow the Commission or its designated representative to fully participate in and exercise its decision making authority over the proposed securitization as provided in this Financing Order.</w:t>
      </w:r>
    </w:p>
    <w:p w14:paraId="2CDB8FDC" w14:textId="338810E0" w:rsidR="003631D6" w:rsidRPr="00BD2206" w:rsidRDefault="003631D6" w:rsidP="003631D6">
      <w:pPr>
        <w:pStyle w:val="OrderingNumbered"/>
      </w:pPr>
      <w:r w:rsidRPr="00BD2206">
        <w:rPr>
          <w:b/>
        </w:rPr>
        <w:t>Issuance Advice Letter.</w:t>
      </w:r>
      <w:r w:rsidRPr="00BD2206">
        <w:t xml:space="preserve">  For each series of </w:t>
      </w:r>
      <w:r w:rsidR="00626450" w:rsidRPr="00BD2206">
        <w:t xml:space="preserve">system restoration </w:t>
      </w:r>
      <w:r w:rsidRPr="00BD2206">
        <w:t xml:space="preserve">bonds issued, </w:t>
      </w:r>
      <w:r w:rsidR="00DA6854" w:rsidRPr="00BD2206">
        <w:t>AEP Texas</w:t>
      </w:r>
      <w:r w:rsidRPr="00BD2206">
        <w:t xml:space="preserve"> shall submit a draft issuance advice letter to the Commission Staff for review not later than two weeks prior to the expected date of commencement of marketing the </w:t>
      </w:r>
      <w:r w:rsidR="00626450" w:rsidRPr="00BD2206">
        <w:t xml:space="preserve">system restoration </w:t>
      </w:r>
      <w:r w:rsidRPr="00BD2206">
        <w:t>bonds.  With the approval of the Commission’s designated representative, the actual date of</w:t>
      </w:r>
      <w:r w:rsidR="0061503F" w:rsidRPr="00BD2206">
        <w:t xml:space="preserve"> the commencement of marketing </w:t>
      </w:r>
      <w:r w:rsidRPr="00BD2206">
        <w:t xml:space="preserve">may be a date other than the expected date.  Within one week after receipt of the draft issuance advice letter, Commission Staff shall provide </w:t>
      </w:r>
      <w:r w:rsidR="00DA6854" w:rsidRPr="00BD2206">
        <w:t>AEP Texas</w:t>
      </w:r>
      <w:r w:rsidRPr="00BD2206">
        <w:t xml:space="preserve"> comments and recommendations regarding the adequacy of the information provided.  Not later than the end of the first business day after the pricing of the </w:t>
      </w:r>
      <w:r w:rsidR="00626450" w:rsidRPr="00BD2206">
        <w:t xml:space="preserve">system restoration </w:t>
      </w:r>
      <w:r w:rsidRPr="00BD2206">
        <w:t xml:space="preserve">bonds and prior to issuance of the </w:t>
      </w:r>
      <w:r w:rsidR="00626450" w:rsidRPr="00BD2206">
        <w:t xml:space="preserve">system restoration </w:t>
      </w:r>
      <w:r w:rsidRPr="00BD2206">
        <w:t xml:space="preserve">bonds, </w:t>
      </w:r>
      <w:r w:rsidR="00DA6854" w:rsidRPr="00BD2206">
        <w:t>AEP Texas</w:t>
      </w:r>
      <w:r w:rsidRPr="00BD2206">
        <w:t xml:space="preserve">, in consultation with the Commission acting through its designated representative, shall file with the Commission an issuance advice letter in substantially the form of the issuance advice letter attached as Appendix A to this Financing Order.  As part of the issuance advice letter, </w:t>
      </w:r>
      <w:r w:rsidR="00DA6854" w:rsidRPr="00BD2206">
        <w:t>AEP Texas</w:t>
      </w:r>
      <w:r w:rsidRPr="00BD2206">
        <w:t xml:space="preserve">, through an officer of </w:t>
      </w:r>
      <w:r w:rsidR="00DA6854" w:rsidRPr="00BD2206">
        <w:t>AEP Texas</w:t>
      </w:r>
      <w:r w:rsidRPr="00BD2206">
        <w:t xml:space="preserve">, shall provide a certification worded precisely as the statement in the form of issuance advice letter approved by the Commission.  The issuance advice letter shall be completed, shall evidence the actual dollar amount of the initial </w:t>
      </w:r>
      <w:r w:rsidR="00626450" w:rsidRPr="00BD2206">
        <w:t xml:space="preserve">system restoration </w:t>
      </w:r>
      <w:r w:rsidRPr="00BD2206">
        <w:t xml:space="preserve">charges and other information specific to the </w:t>
      </w:r>
      <w:r w:rsidR="00626450" w:rsidRPr="00BD2206">
        <w:t xml:space="preserve">system restoration </w:t>
      </w:r>
      <w:r w:rsidRPr="00BD2206">
        <w:t xml:space="preserve">bonds to be issued, and shall certify to the Commission that the structure and pricing of that series results in the lowest </w:t>
      </w:r>
      <w:r w:rsidR="00626450" w:rsidRPr="00BD2206">
        <w:t>system restoration</w:t>
      </w:r>
      <w:r w:rsidRPr="00BD2206">
        <w:t xml:space="preserve"> charges consistent with market conditions at the time that the </w:t>
      </w:r>
      <w:r w:rsidR="00626450" w:rsidRPr="00BD2206">
        <w:t xml:space="preserve">system restoration </w:t>
      </w:r>
      <w:r w:rsidRPr="00BD2206">
        <w:t xml:space="preserve">bonds are priced and with the terms set out in this Financing Order.  In addition, if original issue discount, additional credit enhancements, or arrangements to enhance marketability are used, the issuance advice letter shall include certification that the original issue discount, additional credit enhancements, or other arrangements are reasonably expected to provide benefits as required by this Financing Order.  All amounts which require computation shall be computed using the mathematical formulas contained in the form of the issuance advice letter in Appendix A to this Financing Order and Schedule </w:t>
      </w:r>
      <w:r w:rsidR="00626450" w:rsidRPr="00BD2206">
        <w:t>SR</w:t>
      </w:r>
      <w:r w:rsidRPr="00BD2206">
        <w:t xml:space="preserve">C approved in this Financing Order.  Electronic spreadsheets with the formulas supporting the schedules contained in the issuance advice letter shall be included with such letter.  The Commission’s review of the issuance advice letter shall be limited to the arithmetic accuracy of the calculations and to compliance with PURA, this Financing Order, and the specific requirements that are contained in the issuance advice letter.  The initial </w:t>
      </w:r>
      <w:r w:rsidR="009761B6" w:rsidRPr="00BD2206">
        <w:t xml:space="preserve">system restoration </w:t>
      </w:r>
      <w:r w:rsidRPr="00BD2206">
        <w:t xml:space="preserve">charges and the final terms of the </w:t>
      </w:r>
      <w:r w:rsidR="00626450" w:rsidRPr="00BD2206">
        <w:t xml:space="preserve">system restoration </w:t>
      </w:r>
      <w:r w:rsidRPr="00BD2206">
        <w:t xml:space="preserve">bonds set forth in the issuance advice letter shall become effective on the date of issuance of the </w:t>
      </w:r>
      <w:r w:rsidR="00626450" w:rsidRPr="00BD2206">
        <w:t xml:space="preserve">system restoration </w:t>
      </w:r>
      <w:r w:rsidRPr="00BD2206">
        <w:t>bonds (which shall not occur prior to the fifth business day after pricing) unless prior to noon on the fourth business day after pricing the Commission issues an order finding that the proposed issuance does not comply with the requirements set forth above in this Ordering Paragraph.</w:t>
      </w:r>
    </w:p>
    <w:p w14:paraId="7E2AB82B" w14:textId="10908BC3" w:rsidR="003631D6" w:rsidRPr="00BD2206" w:rsidRDefault="003631D6" w:rsidP="003631D6">
      <w:pPr>
        <w:pStyle w:val="OrderingNumbered"/>
      </w:pPr>
      <w:bookmarkStart w:id="1162" w:name="_Toc88378169"/>
      <w:bookmarkStart w:id="1163" w:name="_Toc88379141"/>
      <w:bookmarkStart w:id="1164" w:name="_Toc88379363"/>
      <w:bookmarkStart w:id="1165" w:name="_Toc88379583"/>
      <w:bookmarkStart w:id="1166" w:name="_Toc88379801"/>
      <w:bookmarkStart w:id="1167" w:name="_Toc88379989"/>
      <w:bookmarkStart w:id="1168" w:name="_Toc88380167"/>
      <w:r w:rsidRPr="00BD2206">
        <w:rPr>
          <w:b/>
        </w:rPr>
        <w:t>Approval of Tariff</w:t>
      </w:r>
      <w:r w:rsidRPr="00BD2206">
        <w:t xml:space="preserve">.  </w:t>
      </w:r>
      <w:bookmarkEnd w:id="1162"/>
      <w:bookmarkEnd w:id="1163"/>
      <w:bookmarkEnd w:id="1164"/>
      <w:bookmarkEnd w:id="1165"/>
      <w:bookmarkEnd w:id="1166"/>
      <w:bookmarkEnd w:id="1167"/>
      <w:bookmarkEnd w:id="1168"/>
      <w:r w:rsidRPr="00BD2206">
        <w:t xml:space="preserve">The form of Schedule </w:t>
      </w:r>
      <w:r w:rsidR="00626450" w:rsidRPr="00BD2206">
        <w:t>SR</w:t>
      </w:r>
      <w:r w:rsidRPr="00BD2206">
        <w:t xml:space="preserve">C and Rider </w:t>
      </w:r>
      <w:r w:rsidR="00626450" w:rsidRPr="00BD2206">
        <w:t>SR</w:t>
      </w:r>
      <w:r w:rsidRPr="00BD2206">
        <w:t xml:space="preserve">C attached as Appendix B to this order is approved.  Prior to the issuance of any </w:t>
      </w:r>
      <w:r w:rsidR="00626450" w:rsidRPr="00BD2206">
        <w:t xml:space="preserve">system restoration </w:t>
      </w:r>
      <w:r w:rsidRPr="00BD2206">
        <w:t xml:space="preserve">bonds under this Financing Order, </w:t>
      </w:r>
      <w:r w:rsidR="00DA6854" w:rsidRPr="00BD2206">
        <w:t>AEP Texas</w:t>
      </w:r>
      <w:r w:rsidRPr="00BD2206">
        <w:t xml:space="preserve"> shall file a tariff that conforms to the form of the Schedule </w:t>
      </w:r>
      <w:r w:rsidR="00626450" w:rsidRPr="00BD2206">
        <w:t>SR</w:t>
      </w:r>
      <w:r w:rsidRPr="00BD2206">
        <w:t xml:space="preserve">C and Rider </w:t>
      </w:r>
      <w:r w:rsidR="00626450" w:rsidRPr="00BD2206">
        <w:t>SR</w:t>
      </w:r>
      <w:r w:rsidRPr="00BD2206">
        <w:t>C tariff provisions attached to this Financing Order.</w:t>
      </w:r>
    </w:p>
    <w:p w14:paraId="47E8543D" w14:textId="77777777" w:rsidR="003631D6" w:rsidRPr="00BD2206" w:rsidRDefault="005F1EE2" w:rsidP="005F1EE2">
      <w:pPr>
        <w:pStyle w:val="Heading2"/>
      </w:pPr>
      <w:bookmarkStart w:id="1169" w:name="_Toc88378170"/>
      <w:bookmarkStart w:id="1170" w:name="_Toc88379142"/>
      <w:bookmarkStart w:id="1171" w:name="_Toc88379364"/>
      <w:bookmarkStart w:id="1172" w:name="_Toc88379584"/>
      <w:bookmarkStart w:id="1173" w:name="_Toc88379802"/>
      <w:bookmarkStart w:id="1174" w:name="_Toc88379990"/>
      <w:bookmarkStart w:id="1175" w:name="_Toc88380168"/>
      <w:bookmarkStart w:id="1176" w:name="_Toc88380293"/>
      <w:bookmarkStart w:id="1177" w:name="_Toc88380455"/>
      <w:bookmarkStart w:id="1178" w:name="_Toc88380547"/>
      <w:bookmarkStart w:id="1179" w:name="_Toc88380639"/>
      <w:bookmarkStart w:id="1180" w:name="_Toc97535687"/>
      <w:bookmarkStart w:id="1181" w:name="_Toc158028421"/>
      <w:bookmarkStart w:id="1182" w:name="_Toc177539472"/>
      <w:r w:rsidRPr="00BD2206">
        <w:t xml:space="preserve">  </w:t>
      </w:r>
      <w:bookmarkStart w:id="1183" w:name="_Toc2778520"/>
      <w:r w:rsidR="00626450" w:rsidRPr="00BD2206">
        <w:t xml:space="preserve">System Restoration </w:t>
      </w:r>
      <w:r w:rsidR="003631D6" w:rsidRPr="00BD2206">
        <w:t>Charges</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36F48380" w14:textId="2E949519" w:rsidR="003631D6" w:rsidRPr="00BD2206" w:rsidRDefault="003631D6" w:rsidP="003631D6">
      <w:pPr>
        <w:pStyle w:val="OrderingNumbered"/>
      </w:pPr>
      <w:r w:rsidRPr="00BD2206">
        <w:rPr>
          <w:b/>
        </w:rPr>
        <w:t>Imposition and Collection.</w:t>
      </w:r>
      <w:r w:rsidRPr="00BD2206">
        <w:t xml:space="preserve"> </w:t>
      </w:r>
      <w:r w:rsidR="00DA6854" w:rsidRPr="00BD2206">
        <w:t>AEP Texas</w:t>
      </w:r>
      <w:r w:rsidRPr="00BD2206">
        <w:t xml:space="preserve"> is authorized to impose on, and the servicer is authorized to collect from</w:t>
      </w:r>
      <w:r w:rsidR="00122BE7" w:rsidRPr="00BD2206">
        <w:t>,</w:t>
      </w:r>
      <w:r w:rsidRPr="00BD2206">
        <w:t xml:space="preserve"> REPs serving all existing and future retail </w:t>
      </w:r>
      <w:r w:rsidR="00824E79" w:rsidRPr="00BD2206">
        <w:t>customers</w:t>
      </w:r>
      <w:r w:rsidRPr="00BD2206">
        <w:t xml:space="preserve"> located within </w:t>
      </w:r>
      <w:r w:rsidR="00DA6854" w:rsidRPr="00BD2206">
        <w:t>AEP Texas</w:t>
      </w:r>
      <w:r w:rsidR="00122BE7" w:rsidRPr="00BD2206">
        <w:t>’</w:t>
      </w:r>
      <w:r w:rsidRPr="00BD2206">
        <w:t xml:space="preserve"> </w:t>
      </w:r>
      <w:r w:rsidR="00B62CC6" w:rsidRPr="00BD2206">
        <w:t>C</w:t>
      </w:r>
      <w:r w:rsidR="00EA281E" w:rsidRPr="00BD2206">
        <w:t xml:space="preserve">entral </w:t>
      </w:r>
      <w:r w:rsidR="00B62CC6" w:rsidRPr="00BD2206">
        <w:t>D</w:t>
      </w:r>
      <w:r w:rsidR="00EA281E" w:rsidRPr="00BD2206">
        <w:t xml:space="preserve">ivision </w:t>
      </w:r>
      <w:r w:rsidRPr="00BD2206">
        <w:t xml:space="preserve">service area as it existed on </w:t>
      </w:r>
      <w:r w:rsidR="00A63BE1" w:rsidRPr="00BD2206">
        <w:t>the date this Financing Order is issued</w:t>
      </w:r>
      <w:r w:rsidRPr="00BD2206">
        <w:t xml:space="preserve"> and other entities which, under the terms of this Financing Order or the tariffs approved hereby, are required to bill, pay or collect </w:t>
      </w:r>
      <w:r w:rsidR="00626450" w:rsidRPr="00BD2206">
        <w:t xml:space="preserve">system restoration </w:t>
      </w:r>
      <w:r w:rsidRPr="00BD2206">
        <w:t xml:space="preserve">charges, </w:t>
      </w:r>
      <w:r w:rsidR="00626450" w:rsidRPr="00BD2206">
        <w:t xml:space="preserve">system restoration </w:t>
      </w:r>
      <w:r w:rsidRPr="00BD2206">
        <w:t xml:space="preserve">charges in an amount sufficient to provide for the timely recovery of the aggregate Periodic Payment Requirements (including payment of principal and interest on the </w:t>
      </w:r>
      <w:r w:rsidR="00626450" w:rsidRPr="00BD2206">
        <w:t xml:space="preserve">system restoration </w:t>
      </w:r>
      <w:r w:rsidRPr="00BD2206">
        <w:t xml:space="preserve">bonds), as approved in this Financing Order.  If there is a shortfall in payment of an amount billed, the amount paid shall first be apportioned ratably between the </w:t>
      </w:r>
      <w:r w:rsidR="00626450" w:rsidRPr="00BD2206">
        <w:t xml:space="preserve">system restoration </w:t>
      </w:r>
      <w:r w:rsidRPr="00BD2206">
        <w:t>charges and other fees and charges (including transition charges attributable to the transition bonds issued by AEP Texas Central Transition Funding II LLC in October 2006 pursuant to the financing order in Docket 32475</w:t>
      </w:r>
      <w:r w:rsidR="00626450" w:rsidRPr="00BD2206">
        <w:t>, and the transition bonds issued by AEP Texas Central Transition Funding III LLC in March 2012 pursuant to the financing order in Docket 39931</w:t>
      </w:r>
      <w:r w:rsidR="00D925BC" w:rsidRPr="00BD2206">
        <w:t xml:space="preserve"> and future transition charges or system restoration charges associated with transition bonds or system restoration bonds issued under future financing orders</w:t>
      </w:r>
      <w:r w:rsidRPr="00BD2206">
        <w:t xml:space="preserve">), other than late fees, and second, any remaining portion of the payment shall be allocated to late fees.  </w:t>
      </w:r>
    </w:p>
    <w:p w14:paraId="5D658915" w14:textId="2EF9A14F" w:rsidR="003631D6" w:rsidRPr="00BD2206" w:rsidRDefault="003631D6" w:rsidP="003631D6">
      <w:pPr>
        <w:pStyle w:val="OrderingNumbered"/>
      </w:pPr>
      <w:proofErr w:type="spellStart"/>
      <w:r w:rsidRPr="00BD2206">
        <w:rPr>
          <w:b/>
        </w:rPr>
        <w:t>BondCo’s</w:t>
      </w:r>
      <w:proofErr w:type="spellEnd"/>
      <w:r w:rsidRPr="00BD2206">
        <w:rPr>
          <w:b/>
        </w:rPr>
        <w:t xml:space="preserve"> Rights and Remedies.</w:t>
      </w:r>
      <w:r w:rsidRPr="00BD2206">
        <w:t xml:space="preserve">  Upon the transfer by </w:t>
      </w:r>
      <w:r w:rsidR="00DA6854" w:rsidRPr="00BD2206">
        <w:t>AEP Texas</w:t>
      </w:r>
      <w:r w:rsidRPr="00BD2206">
        <w:t xml:space="preserve"> of the transition property to </w:t>
      </w:r>
      <w:r w:rsidR="00D670DC" w:rsidRPr="00BD2206">
        <w:t xml:space="preserve">a </w:t>
      </w:r>
      <w:proofErr w:type="spellStart"/>
      <w:r w:rsidRPr="00BD2206">
        <w:t>BondCo</w:t>
      </w:r>
      <w:proofErr w:type="spellEnd"/>
      <w:r w:rsidRPr="00BD2206">
        <w:t xml:space="preserve">, </w:t>
      </w:r>
      <w:r w:rsidR="00D670DC" w:rsidRPr="00BD2206">
        <w:t xml:space="preserve">the </w:t>
      </w:r>
      <w:proofErr w:type="spellStart"/>
      <w:r w:rsidRPr="00BD2206">
        <w:t>BondCo</w:t>
      </w:r>
      <w:proofErr w:type="spellEnd"/>
      <w:r w:rsidRPr="00BD2206">
        <w:t xml:space="preserve"> shall have all of the rights, title and interest of </w:t>
      </w:r>
      <w:r w:rsidR="00DA6854" w:rsidRPr="00BD2206">
        <w:t>AEP Texas</w:t>
      </w:r>
      <w:r w:rsidRPr="00BD2206">
        <w:t xml:space="preserve"> with respect to such transition property, including, without limitation, the right to exercise any and all rights and remedies with respect thereto, including the right to authorize disconnection of electric service and to assess and collect any amounts payable by any retail </w:t>
      </w:r>
      <w:r w:rsidR="00793918" w:rsidRPr="00BD2206">
        <w:t>customer</w:t>
      </w:r>
      <w:r w:rsidRPr="00BD2206">
        <w:t xml:space="preserve"> in respect of the transition property.  If </w:t>
      </w:r>
      <w:r w:rsidR="00626450" w:rsidRPr="00BD2206">
        <w:t>system restoration</w:t>
      </w:r>
      <w:r w:rsidRPr="00BD2206">
        <w:t xml:space="preserve"> bonds are issued in more than one series, then the transition property transferred as a result of each issuance shall be only those rights associated with that portion of the total amount authorized to be securitized pursuant to this Financing Order which is securitized by such issuance.  The rights to impose, collect and receive </w:t>
      </w:r>
      <w:r w:rsidR="00F006CB" w:rsidRPr="00BD2206">
        <w:t xml:space="preserve">system restoration </w:t>
      </w:r>
      <w:r w:rsidRPr="00BD2206">
        <w:t xml:space="preserve">charges along with the other rights arising pursuant to this Financing Order as they relate to any portion of the total amount authorized to be securitized that remains </w:t>
      </w:r>
      <w:proofErr w:type="spellStart"/>
      <w:r w:rsidRPr="00BD2206">
        <w:t>unsecuritized</w:t>
      </w:r>
      <w:proofErr w:type="spellEnd"/>
      <w:r w:rsidRPr="00BD2206">
        <w:t xml:space="preserve"> shall remain with </w:t>
      </w:r>
      <w:r w:rsidR="00DA6854" w:rsidRPr="00BD2206">
        <w:t>AEP Texas</w:t>
      </w:r>
      <w:r w:rsidRPr="00BD2206">
        <w:t xml:space="preserve"> and shall not become transition property until transferred to a </w:t>
      </w:r>
      <w:proofErr w:type="spellStart"/>
      <w:r w:rsidRPr="00BD2206">
        <w:t>BondCo</w:t>
      </w:r>
      <w:proofErr w:type="spellEnd"/>
      <w:r w:rsidRPr="00BD2206">
        <w:t xml:space="preserve"> in connection with a subsequent issuance of </w:t>
      </w:r>
      <w:r w:rsidR="00F006CB" w:rsidRPr="00BD2206">
        <w:t xml:space="preserve">system restoration </w:t>
      </w:r>
      <w:r w:rsidRPr="00BD2206">
        <w:t>bonds.</w:t>
      </w:r>
    </w:p>
    <w:p w14:paraId="1B48E4B1" w14:textId="6812477D" w:rsidR="003631D6" w:rsidRPr="00BD2206" w:rsidRDefault="003631D6" w:rsidP="003631D6">
      <w:pPr>
        <w:pStyle w:val="OrderingNumbered"/>
      </w:pPr>
      <w:r w:rsidRPr="00BD2206">
        <w:rPr>
          <w:b/>
        </w:rPr>
        <w:t xml:space="preserve">Collector of </w:t>
      </w:r>
      <w:r w:rsidR="009761B6" w:rsidRPr="00BD2206">
        <w:rPr>
          <w:b/>
        </w:rPr>
        <w:t xml:space="preserve">System Restoration </w:t>
      </w:r>
      <w:r w:rsidRPr="00BD2206">
        <w:rPr>
          <w:b/>
        </w:rPr>
        <w:t>Charges.</w:t>
      </w:r>
      <w:r w:rsidRPr="00BD2206">
        <w:t xml:space="preserve">  </w:t>
      </w:r>
      <w:r w:rsidR="00DA6854" w:rsidRPr="00BD2206">
        <w:t>AEP Texas</w:t>
      </w:r>
      <w:r w:rsidRPr="00BD2206">
        <w:t xml:space="preserve"> or any subsequent servicer of the </w:t>
      </w:r>
      <w:r w:rsidR="00F006CB" w:rsidRPr="00BD2206">
        <w:t xml:space="preserve">system restoration </w:t>
      </w:r>
      <w:r w:rsidRPr="00BD2206">
        <w:t xml:space="preserve">bonds shall bill a </w:t>
      </w:r>
      <w:r w:rsidR="004B10F4" w:rsidRPr="00BD2206">
        <w:t>customer</w:t>
      </w:r>
      <w:r w:rsidRPr="00BD2206">
        <w:t xml:space="preserve">’s REP or other entity which, under the terms of this Financing Order or the tariffs approved hereby, is required to bill, or collect </w:t>
      </w:r>
      <w:r w:rsidR="00F006CB" w:rsidRPr="00BD2206">
        <w:t xml:space="preserve">system restoration </w:t>
      </w:r>
      <w:r w:rsidRPr="00BD2206">
        <w:t xml:space="preserve">charges, for the </w:t>
      </w:r>
      <w:r w:rsidR="00F006CB" w:rsidRPr="00BD2206">
        <w:t xml:space="preserve">system restoration </w:t>
      </w:r>
      <w:r w:rsidRPr="00BD2206">
        <w:t xml:space="preserve">charges attributable to that </w:t>
      </w:r>
      <w:r w:rsidR="004B10F4" w:rsidRPr="00BD2206">
        <w:t>customer</w:t>
      </w:r>
      <w:r w:rsidRPr="00BD2206">
        <w:t xml:space="preserve">.  REPs and other entities responsible for collecting </w:t>
      </w:r>
      <w:r w:rsidR="00F006CB" w:rsidRPr="00BD2206">
        <w:t xml:space="preserve">system restoration </w:t>
      </w:r>
      <w:r w:rsidRPr="00BD2206">
        <w:t xml:space="preserve">charges from retail </w:t>
      </w:r>
      <w:r w:rsidR="00824E79" w:rsidRPr="00BD2206">
        <w:t>customers</w:t>
      </w:r>
      <w:r w:rsidRPr="00BD2206">
        <w:t xml:space="preserve"> under this Financing Order shall pay the </w:t>
      </w:r>
      <w:r w:rsidR="00F006CB" w:rsidRPr="00BD2206">
        <w:t xml:space="preserve">system restoration </w:t>
      </w:r>
      <w:r w:rsidRPr="00BD2206">
        <w:t>charges billed to them less the charge off allowance as provided in Finding of Fact No. 5</w:t>
      </w:r>
      <w:r w:rsidR="00043E63" w:rsidRPr="00BD2206">
        <w:t>3</w:t>
      </w:r>
      <w:r w:rsidRPr="00BD2206">
        <w:t xml:space="preserve">(j) whether or not they collect the </w:t>
      </w:r>
      <w:r w:rsidR="00F006CB" w:rsidRPr="00BD2206">
        <w:t xml:space="preserve">system restoration </w:t>
      </w:r>
      <w:r w:rsidRPr="00BD2206">
        <w:t xml:space="preserve">charges from their retail </w:t>
      </w:r>
      <w:r w:rsidR="00824E79" w:rsidRPr="00BD2206">
        <w:t>customers</w:t>
      </w:r>
      <w:r w:rsidRPr="00BD2206">
        <w:t>.</w:t>
      </w:r>
    </w:p>
    <w:p w14:paraId="567A09A8" w14:textId="2A9670C6" w:rsidR="003631D6" w:rsidRPr="00BD2206" w:rsidRDefault="003631D6" w:rsidP="003631D6">
      <w:pPr>
        <w:pStyle w:val="OrderingNumbered"/>
      </w:pPr>
      <w:r w:rsidRPr="00BD2206">
        <w:rPr>
          <w:b/>
        </w:rPr>
        <w:t>Collection Period.</w:t>
      </w:r>
      <w:r w:rsidRPr="00BD2206">
        <w:t xml:space="preserve">  The </w:t>
      </w:r>
      <w:r w:rsidR="00F006CB" w:rsidRPr="00BD2206">
        <w:t xml:space="preserve">system restoration </w:t>
      </w:r>
      <w:r w:rsidRPr="00BD2206">
        <w:t xml:space="preserve">charges related to a series of </w:t>
      </w:r>
      <w:r w:rsidR="00F006CB" w:rsidRPr="00BD2206">
        <w:t xml:space="preserve">system restoration </w:t>
      </w:r>
      <w:r w:rsidRPr="00BD2206">
        <w:t xml:space="preserve">bonds shall be designed to be collected over the scheduled life of the </w:t>
      </w:r>
      <w:r w:rsidR="00F006CB" w:rsidRPr="00BD2206">
        <w:t xml:space="preserve">system restoration </w:t>
      </w:r>
      <w:r w:rsidRPr="00BD2206">
        <w:t>bonds</w:t>
      </w:r>
      <w:r w:rsidR="00122F98" w:rsidRPr="00BD2206">
        <w:t>,</w:t>
      </w:r>
      <w:r w:rsidRPr="00BD2206">
        <w:t xml:space="preserve"> which may not exceed 14 years.  However, to the extent that any amounts are not recovered at the end of this period, </w:t>
      </w:r>
      <w:r w:rsidR="00DA6854" w:rsidRPr="00BD2206">
        <w:t>AEP Texas</w:t>
      </w:r>
      <w:r w:rsidRPr="00BD2206">
        <w:t xml:space="preserve"> may continue to recover them over a period ending not more than 15 years from the date of issuance of that series of </w:t>
      </w:r>
      <w:r w:rsidR="00F006CB" w:rsidRPr="00BD2206">
        <w:t xml:space="preserve">system restoration </w:t>
      </w:r>
      <w:r w:rsidRPr="00BD2206">
        <w:t xml:space="preserve">bonds.  Amounts remaining unpaid after this 15-year period may be recovered but only to the extent that the charges are attributable to </w:t>
      </w:r>
      <w:r w:rsidR="003831E2" w:rsidRPr="00BD2206">
        <w:t>system restoration charges allocable to</w:t>
      </w:r>
      <w:r w:rsidRPr="00BD2206">
        <w:t xml:space="preserve"> the 15-year period.</w:t>
      </w:r>
    </w:p>
    <w:p w14:paraId="22D14414" w14:textId="42AB7F9A" w:rsidR="003631D6" w:rsidRPr="00BD2206" w:rsidRDefault="003631D6" w:rsidP="003631D6">
      <w:pPr>
        <w:pStyle w:val="OrderingNumbered"/>
      </w:pPr>
      <w:r w:rsidRPr="00BD2206">
        <w:rPr>
          <w:b/>
        </w:rPr>
        <w:t>Allocation</w:t>
      </w:r>
      <w:r w:rsidRPr="00BD2206">
        <w:t xml:space="preserve">.  </w:t>
      </w:r>
      <w:r w:rsidR="00DA6854" w:rsidRPr="00BD2206">
        <w:t>AEP Texas</w:t>
      </w:r>
      <w:r w:rsidRPr="00BD2206">
        <w:t xml:space="preserve"> shall allocate the </w:t>
      </w:r>
      <w:r w:rsidR="00F006CB" w:rsidRPr="00BD2206">
        <w:t xml:space="preserve">system restoration </w:t>
      </w:r>
      <w:r w:rsidRPr="00BD2206">
        <w:t xml:space="preserve">charges among </w:t>
      </w:r>
      <w:r w:rsidR="004B10F4" w:rsidRPr="00BD2206">
        <w:t>customer</w:t>
      </w:r>
      <w:r w:rsidRPr="00BD2206">
        <w:t xml:space="preserve"> classes in the manner described in this Financing Order.</w:t>
      </w:r>
    </w:p>
    <w:p w14:paraId="512D8922" w14:textId="16086B23" w:rsidR="003631D6" w:rsidRPr="00BD2206" w:rsidRDefault="003631D6" w:rsidP="003631D6">
      <w:pPr>
        <w:pStyle w:val="OrderingNumbered"/>
      </w:pPr>
      <w:proofErr w:type="spellStart"/>
      <w:r w:rsidRPr="00BD2206">
        <w:rPr>
          <w:b/>
        </w:rPr>
        <w:t>Nonbypassability</w:t>
      </w:r>
      <w:proofErr w:type="spellEnd"/>
      <w:r w:rsidRPr="00BD2206">
        <w:rPr>
          <w:b/>
        </w:rPr>
        <w:t>.</w:t>
      </w:r>
      <w:r w:rsidRPr="00BD2206">
        <w:t xml:space="preserve">  </w:t>
      </w:r>
      <w:r w:rsidR="00A63BE1" w:rsidRPr="00BD2206">
        <w:t xml:space="preserve">AEP Texas and any other entity providing electric distribution services and any REP providing services to any retail </w:t>
      </w:r>
      <w:r w:rsidR="008A2BDB" w:rsidRPr="00BD2206">
        <w:t xml:space="preserve">customer </w:t>
      </w:r>
      <w:r w:rsidR="00A63BE1" w:rsidRPr="00BD2206">
        <w:t xml:space="preserve">within AEP Texas’ certificated service area as it existed on the date this Financing Order is issued are entitled to collect and must remit, consistent with this Financing Order, the system restoration charges from such retail </w:t>
      </w:r>
      <w:r w:rsidR="00824E79" w:rsidRPr="00BD2206">
        <w:t>customers</w:t>
      </w:r>
      <w:r w:rsidR="003831E2" w:rsidRPr="00BD2206">
        <w:t>,</w:t>
      </w:r>
      <w:r w:rsidR="00A63BE1" w:rsidRPr="00BD2206">
        <w:t xml:space="preserve"> including </w:t>
      </w:r>
      <w:r w:rsidR="003831E2" w:rsidRPr="00BD2206">
        <w:t xml:space="preserve">certain customers in a multiply-certificated service area that switch services providers as described in Finding of Fact 71 and </w:t>
      </w:r>
      <w:r w:rsidR="00A63BE1" w:rsidRPr="00BD2206">
        <w:t xml:space="preserve">certain retail </w:t>
      </w:r>
      <w:r w:rsidR="00824E79" w:rsidRPr="00BD2206">
        <w:t>customers</w:t>
      </w:r>
      <w:r w:rsidR="00A63BE1" w:rsidRPr="00BD2206">
        <w:t xml:space="preserve"> that switch to certain new on-site generation as described in </w:t>
      </w:r>
      <w:r w:rsidR="00C86CE2" w:rsidRPr="00BD2206">
        <w:t>F</w:t>
      </w:r>
      <w:r w:rsidR="00A63BE1" w:rsidRPr="00BD2206">
        <w:t xml:space="preserve">inding of </w:t>
      </w:r>
      <w:r w:rsidR="00C86CE2" w:rsidRPr="00BD2206">
        <w:t>F</w:t>
      </w:r>
      <w:r w:rsidR="00A63BE1" w:rsidRPr="00BD2206">
        <w:t>act 7</w:t>
      </w:r>
      <w:r w:rsidR="008A2BDB" w:rsidRPr="00BD2206">
        <w:t>2</w:t>
      </w:r>
      <w:r w:rsidR="00A63BE1" w:rsidRPr="00BD2206">
        <w:t xml:space="preserve">.  The Commission will ensure that such obligations are undertaken and performed by AEP Texas, any other entity providing electric distribution services within AEP Texas’ certificated service area as it exists on the date this Financing Order is issued and any REP providing services to any retail </w:t>
      </w:r>
      <w:r w:rsidR="004B10F4" w:rsidRPr="00BD2206">
        <w:t>customer</w:t>
      </w:r>
      <w:r w:rsidR="00A63BE1" w:rsidRPr="00BD2206">
        <w:t xml:space="preserve"> within such certificated service area</w:t>
      </w:r>
      <w:r w:rsidRPr="00BD2206">
        <w:t>.</w:t>
      </w:r>
    </w:p>
    <w:p w14:paraId="5AF2BD55" w14:textId="6578B81A" w:rsidR="003631D6" w:rsidRPr="00BD2206" w:rsidRDefault="003631D6" w:rsidP="003631D6">
      <w:pPr>
        <w:pStyle w:val="OrderingNumbered"/>
      </w:pPr>
      <w:r w:rsidRPr="00BD2206">
        <w:rPr>
          <w:b/>
        </w:rPr>
        <w:t>True-Ups.</w:t>
      </w:r>
      <w:r w:rsidRPr="00BD2206">
        <w:t xml:space="preserve"> True-ups of the </w:t>
      </w:r>
      <w:r w:rsidR="00F006CB" w:rsidRPr="00BD2206">
        <w:t xml:space="preserve">system restoration </w:t>
      </w:r>
      <w:r w:rsidRPr="00BD2206">
        <w:t xml:space="preserve">charges, including non-standard true-ups, shall be undertaken and conducted as described in Schedule </w:t>
      </w:r>
      <w:r w:rsidR="00F006CB" w:rsidRPr="00BD2206">
        <w:t>SR</w:t>
      </w:r>
      <w:r w:rsidRPr="00BD2206">
        <w:t xml:space="preserve">C.  The servicer shall file the true-up adjustments in a compliance docket and shall give notice of the filing to all parties in this docket.  If </w:t>
      </w:r>
      <w:r w:rsidR="00F006CB" w:rsidRPr="00BD2206">
        <w:t xml:space="preserve">system restoration </w:t>
      </w:r>
      <w:r w:rsidRPr="00BD2206">
        <w:t>bonds are issued in more than one series, then each series will be subject to separate true-up adjustments pursuant to PURA and this Financing Order, provided, however, that more than one series may be trued-up in a single proceeding.</w:t>
      </w:r>
    </w:p>
    <w:p w14:paraId="2D5659DF" w14:textId="2070FD91" w:rsidR="003631D6" w:rsidRPr="00BD2206" w:rsidRDefault="003631D6" w:rsidP="003631D6">
      <w:pPr>
        <w:pStyle w:val="OrderingNumbered"/>
      </w:pPr>
      <w:r w:rsidRPr="00BD2206">
        <w:rPr>
          <w:b/>
        </w:rPr>
        <w:t>Ownership Notification.</w:t>
      </w:r>
      <w:r w:rsidRPr="00BD2206">
        <w:t xml:space="preserve">  Any entity that bills </w:t>
      </w:r>
      <w:r w:rsidR="00F006CB" w:rsidRPr="00BD2206">
        <w:t xml:space="preserve">system restoration </w:t>
      </w:r>
      <w:r w:rsidRPr="00BD2206">
        <w:t xml:space="preserve">charges to retail </w:t>
      </w:r>
      <w:r w:rsidR="00824E79" w:rsidRPr="00BD2206">
        <w:t>customers</w:t>
      </w:r>
      <w:r w:rsidRPr="00BD2206">
        <w:t xml:space="preserve"> shall, at least annually, provide written notification to each retail </w:t>
      </w:r>
      <w:r w:rsidR="0098546E" w:rsidRPr="00BD2206">
        <w:t>customer</w:t>
      </w:r>
      <w:r w:rsidRPr="00BD2206">
        <w:t xml:space="preserve"> for which the entity bills </w:t>
      </w:r>
      <w:r w:rsidR="00F006CB" w:rsidRPr="00BD2206">
        <w:t xml:space="preserve">system restoration </w:t>
      </w:r>
      <w:r w:rsidRPr="00BD2206">
        <w:t xml:space="preserve">charges that the </w:t>
      </w:r>
      <w:r w:rsidR="00F006CB" w:rsidRPr="00BD2206">
        <w:t xml:space="preserve">system restoration </w:t>
      </w:r>
      <w:r w:rsidRPr="00BD2206">
        <w:t xml:space="preserve">charges are the property of </w:t>
      </w:r>
      <w:proofErr w:type="spellStart"/>
      <w:r w:rsidRPr="00BD2206">
        <w:t>BondCo</w:t>
      </w:r>
      <w:proofErr w:type="spellEnd"/>
      <w:r w:rsidRPr="00BD2206">
        <w:t xml:space="preserve"> and not of the entity issuing such bill.</w:t>
      </w:r>
    </w:p>
    <w:p w14:paraId="64C27A61" w14:textId="77777777" w:rsidR="003631D6" w:rsidRPr="00BD2206" w:rsidRDefault="005F1EE2" w:rsidP="003631D6">
      <w:pPr>
        <w:pStyle w:val="Heading2"/>
      </w:pPr>
      <w:bookmarkStart w:id="1184" w:name="_Toc88378179"/>
      <w:bookmarkStart w:id="1185" w:name="_Toc88379151"/>
      <w:bookmarkStart w:id="1186" w:name="_Toc88379373"/>
      <w:bookmarkStart w:id="1187" w:name="_Toc88379593"/>
      <w:bookmarkStart w:id="1188" w:name="_Toc88379811"/>
      <w:bookmarkStart w:id="1189" w:name="_Toc88379999"/>
      <w:bookmarkStart w:id="1190" w:name="_Toc88380177"/>
      <w:bookmarkStart w:id="1191" w:name="_Toc88380294"/>
      <w:bookmarkStart w:id="1192" w:name="_Toc88380456"/>
      <w:bookmarkStart w:id="1193" w:name="_Toc88380548"/>
      <w:bookmarkStart w:id="1194" w:name="_Toc88380640"/>
      <w:bookmarkStart w:id="1195" w:name="_Toc97535688"/>
      <w:bookmarkStart w:id="1196" w:name="_Toc158028422"/>
      <w:bookmarkStart w:id="1197" w:name="_Toc177539473"/>
      <w:r w:rsidRPr="00BD2206">
        <w:t xml:space="preserve">  </w:t>
      </w:r>
      <w:bookmarkStart w:id="1198" w:name="_Toc2778521"/>
      <w:r w:rsidR="00F006CB" w:rsidRPr="00BD2206">
        <w:t xml:space="preserve">System Restoration </w:t>
      </w:r>
      <w:r w:rsidR="003631D6" w:rsidRPr="00BD2206">
        <w:t>Bonds</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13DDC830" w14:textId="32AB4275" w:rsidR="003631D6" w:rsidRPr="00BD2206" w:rsidRDefault="003631D6" w:rsidP="003631D6">
      <w:pPr>
        <w:pStyle w:val="OrderingNumbered"/>
      </w:pPr>
      <w:r w:rsidRPr="00BD2206">
        <w:rPr>
          <w:b/>
        </w:rPr>
        <w:t>Issuance.</w:t>
      </w:r>
      <w:r w:rsidRPr="00BD2206">
        <w:t xml:space="preserve"> </w:t>
      </w:r>
      <w:r w:rsidR="00DA6854" w:rsidRPr="00BD2206">
        <w:t>AEP Texas</w:t>
      </w:r>
      <w:r w:rsidRPr="00BD2206">
        <w:t xml:space="preserve"> is </w:t>
      </w:r>
      <w:r w:rsidR="00EA281E" w:rsidRPr="00BD2206">
        <w:t xml:space="preserve">authorized through one or more </w:t>
      </w:r>
      <w:proofErr w:type="spellStart"/>
      <w:r w:rsidRPr="00BD2206">
        <w:t>BondCos</w:t>
      </w:r>
      <w:proofErr w:type="spellEnd"/>
      <w:r w:rsidRPr="00BD2206">
        <w:t xml:space="preserve"> to issue one or more series of </w:t>
      </w:r>
      <w:r w:rsidR="00F006CB" w:rsidRPr="00BD2206">
        <w:t xml:space="preserve">system restoration </w:t>
      </w:r>
      <w:r w:rsidRPr="00BD2206">
        <w:t xml:space="preserve">bonds as specified in this Financing Order.  The ongoing qualified costs described in Appendix C may be recovered directly through the </w:t>
      </w:r>
      <w:r w:rsidR="00F006CB" w:rsidRPr="00BD2206">
        <w:t xml:space="preserve">system restoration </w:t>
      </w:r>
      <w:r w:rsidRPr="00BD2206">
        <w:t xml:space="preserve">charges.  The </w:t>
      </w:r>
      <w:r w:rsidR="004100A4" w:rsidRPr="00BD2206">
        <w:t xml:space="preserve">system restoration </w:t>
      </w:r>
      <w:r w:rsidRPr="00BD2206">
        <w:t>bonds shall be denominated in U.S. Dollars.</w:t>
      </w:r>
    </w:p>
    <w:p w14:paraId="3E5590F6" w14:textId="28114B40" w:rsidR="003631D6" w:rsidRPr="00BD2206" w:rsidRDefault="003631D6" w:rsidP="003631D6">
      <w:pPr>
        <w:pStyle w:val="OrderingNumbered"/>
      </w:pPr>
      <w:r w:rsidRPr="00BD2206">
        <w:rPr>
          <w:b/>
        </w:rPr>
        <w:t>Up-Front Qualified Costs.</w:t>
      </w:r>
      <w:r w:rsidRPr="00BD2206">
        <w:t xml:space="preserve">  </w:t>
      </w:r>
      <w:r w:rsidR="00F006CB" w:rsidRPr="00BD2206">
        <w:t xml:space="preserve">AEP Texas may securitize up-front qualified costs in accordance with the terms of this Financing Order, which provide that the total amount for up-front qualified cost shall not exceed </w:t>
      </w:r>
      <w:r w:rsidR="00D12B94" w:rsidRPr="00BD2206">
        <w:t>$</w:t>
      </w:r>
      <w:r w:rsidR="00995C05" w:rsidRPr="00BD2206">
        <w:t>4.</w:t>
      </w:r>
      <w:r w:rsidR="002A13B9" w:rsidRPr="00BD2206">
        <w:t>4</w:t>
      </w:r>
      <w:r w:rsidR="00995C05" w:rsidRPr="00BD2206">
        <w:t xml:space="preserve"> million </w:t>
      </w:r>
      <w:r w:rsidR="00F006CB" w:rsidRPr="00BD2206">
        <w:t xml:space="preserve">plus (i) the cost of original issue discount, credit enhancements and other arrangements to enhance marketability as discussed in Ordering Paragraphs 6 and 23, (ii) the cost of the Commission’s financial advisor, if any, and any additional costs incurred by AEP Texas to comply with the requests and recommendations of the Commission’s financial advisor, and (iii) any costs incurred by </w:t>
      </w:r>
      <w:r w:rsidR="00A07B85" w:rsidRPr="00BD2206">
        <w:t xml:space="preserve">AEP Texas </w:t>
      </w:r>
      <w:r w:rsidR="00F006CB" w:rsidRPr="00BD2206">
        <w:t>if this Financing Order is appealed</w:t>
      </w:r>
      <w:r w:rsidR="00E93378" w:rsidRPr="00BD2206">
        <w:t xml:space="preserve">; however, should actual SEC registration fees, underwriters’ fees, or rating agency fees exceed the estimates of those items stated in Appendix C, AEP </w:t>
      </w:r>
      <w:r w:rsidR="00043E63" w:rsidRPr="00BD2206">
        <w:t xml:space="preserve">Texas </w:t>
      </w:r>
      <w:r w:rsidR="00E93378" w:rsidRPr="00BD2206">
        <w:t xml:space="preserve">is authorized to increase the overall cap to adjust for </w:t>
      </w:r>
      <w:r w:rsidR="00C86CE2" w:rsidRPr="00BD2206">
        <w:t>such</w:t>
      </w:r>
      <w:r w:rsidR="00E93378" w:rsidRPr="00BD2206">
        <w:t xml:space="preserve"> increases</w:t>
      </w:r>
      <w:r w:rsidR="009E1F6E" w:rsidRPr="00BD2206">
        <w:t xml:space="preserve"> so long as AEP Texas can demonstrate through the Issuance Advice Letter process that the securitization will continue to satisfy the financial tests set forth in PURA</w:t>
      </w:r>
      <w:r w:rsidRPr="00BD2206">
        <w:t xml:space="preserve">.  </w:t>
      </w:r>
      <w:r w:rsidR="00C86CE2" w:rsidRPr="00BD2206">
        <w:t>No individual cap will apply to any component of up-front qualified costs included in the $</w:t>
      </w:r>
      <w:r w:rsidR="00995C05" w:rsidRPr="00BD2206">
        <w:t>4.</w:t>
      </w:r>
      <w:r w:rsidR="002A13B9" w:rsidRPr="00BD2206">
        <w:t>4</w:t>
      </w:r>
      <w:r w:rsidR="00995C05" w:rsidRPr="00BD2206">
        <w:t xml:space="preserve"> million </w:t>
      </w:r>
      <w:r w:rsidR="00C86CE2" w:rsidRPr="00BD2206">
        <w:t>described above.</w:t>
      </w:r>
    </w:p>
    <w:p w14:paraId="73A6F7B1" w14:textId="6338C27B" w:rsidR="003631D6" w:rsidRPr="00BD2206" w:rsidRDefault="003631D6" w:rsidP="003631D6">
      <w:pPr>
        <w:pStyle w:val="OrderingNumbered"/>
      </w:pPr>
      <w:r w:rsidRPr="00BD2206">
        <w:rPr>
          <w:b/>
        </w:rPr>
        <w:t>Ongoing Qualified Costs.</w:t>
      </w:r>
      <w:r w:rsidRPr="00BD2206">
        <w:t xml:space="preserve">  </w:t>
      </w:r>
      <w:r w:rsidR="00DA6854" w:rsidRPr="00BD2206">
        <w:t>AEP Texas</w:t>
      </w:r>
      <w:r w:rsidRPr="00BD2206">
        <w:t xml:space="preserve"> may recover its actual ongoing qualified costs through its </w:t>
      </w:r>
      <w:r w:rsidR="00A07B85" w:rsidRPr="00BD2206">
        <w:t xml:space="preserve">system restoration </w:t>
      </w:r>
      <w:r w:rsidRPr="00BD2206">
        <w:t xml:space="preserve">charges, subject to the caps on the servicing fees and administrative fees (which are applicable as long as </w:t>
      </w:r>
      <w:r w:rsidR="00DA6854" w:rsidRPr="00BD2206">
        <w:t>AEP Texas</w:t>
      </w:r>
      <w:r w:rsidRPr="00BD2206">
        <w:t xml:space="preserve"> serves as servicer or administrator, as applicable) set forth in Finding of </w:t>
      </w:r>
      <w:r w:rsidR="00C86CE2" w:rsidRPr="00BD2206">
        <w:t>F</w:t>
      </w:r>
      <w:r w:rsidRPr="00BD2206">
        <w:t xml:space="preserve">act No. </w:t>
      </w:r>
      <w:r w:rsidR="0052135F">
        <w:t>21</w:t>
      </w:r>
      <w:r w:rsidRPr="00BD2206">
        <w:t xml:space="preserve"> and Appendix C to this Financing Order.  Ongoing qualified costs other than the servicing and administrative fees of </w:t>
      </w:r>
      <w:r w:rsidR="00DA6854" w:rsidRPr="00BD2206">
        <w:t>AEP Texas</w:t>
      </w:r>
      <w:r w:rsidRPr="00BD2206">
        <w:t xml:space="preserve"> as servicer and administrator are not capped by this Financing Order.  Ongoing qualified costs also include an annual return at the authorized pre-tax return on equity determined in </w:t>
      </w:r>
      <w:r w:rsidR="00DA6854" w:rsidRPr="00BD2206">
        <w:t>AEP Texas</w:t>
      </w:r>
      <w:r w:rsidRPr="00BD2206">
        <w:t xml:space="preserve">’ most recent base rate case on the amount, if any, of invested capital in excess of 0.5% of the principal amount of each series of bonds as discussed in Finding of Fact No. </w:t>
      </w:r>
      <w:r w:rsidR="00DB07B1" w:rsidRPr="00BD2206">
        <w:t>6</w:t>
      </w:r>
      <w:r w:rsidR="00C86CE2" w:rsidRPr="00BD2206">
        <w:t>1</w:t>
      </w:r>
      <w:r w:rsidRPr="00BD2206">
        <w:t xml:space="preserve">.  The amount of ongoing qualified costs is subject to updating in the issuance advice letter to reflect a change in the size of the </w:t>
      </w:r>
      <w:r w:rsidR="00A07B85" w:rsidRPr="00BD2206">
        <w:t xml:space="preserve">system restoration </w:t>
      </w:r>
      <w:r w:rsidRPr="00BD2206">
        <w:t>bond issuance and any decision to issue the bonds in more than one series and other information available at the time of submission of the issuance advice letter.  As provided in Ordering Paragraph No. 3</w:t>
      </w:r>
      <w:r w:rsidR="00A71D55" w:rsidRPr="00BD2206">
        <w:t>2</w:t>
      </w:r>
      <w:r w:rsidRPr="00BD2206">
        <w:t xml:space="preserve">, a servicer, other than </w:t>
      </w:r>
      <w:r w:rsidR="00DA6854" w:rsidRPr="00BD2206">
        <w:t>AEP Texas</w:t>
      </w:r>
      <w:r w:rsidRPr="00BD2206">
        <w:t xml:space="preserve">, may collect a servicing fee </w:t>
      </w:r>
      <w:r w:rsidR="00D925BC" w:rsidRPr="00BD2206">
        <w:t xml:space="preserve">higher </w:t>
      </w:r>
      <w:r w:rsidRPr="00BD2206">
        <w:t>than that set forth in Appendix C to this Financing Order, if such higher fee is approved by the Commission and the indenture trustee.</w:t>
      </w:r>
    </w:p>
    <w:p w14:paraId="677948B2" w14:textId="77777777" w:rsidR="003631D6" w:rsidRPr="00BD2206" w:rsidRDefault="003631D6" w:rsidP="003631D6">
      <w:pPr>
        <w:pStyle w:val="OrderingNumbered"/>
      </w:pPr>
      <w:r w:rsidRPr="00BD2206">
        <w:rPr>
          <w:b/>
        </w:rPr>
        <w:t>Refinancing.</w:t>
      </w:r>
      <w:r w:rsidRPr="00BD2206">
        <w:t xml:space="preserve">  </w:t>
      </w:r>
      <w:r w:rsidR="00DA6854" w:rsidRPr="00BD2206">
        <w:t>AEP Texas</w:t>
      </w:r>
      <w:r w:rsidRPr="00BD2206">
        <w:t xml:space="preserve"> or any assignee may apply for one or more new financing orders pursuant to PURA § 39.303(g).</w:t>
      </w:r>
    </w:p>
    <w:p w14:paraId="32E6B732" w14:textId="5DEFC1CA" w:rsidR="003631D6" w:rsidRPr="00BD2206" w:rsidRDefault="003631D6" w:rsidP="003631D6">
      <w:pPr>
        <w:pStyle w:val="OrderingNumbered"/>
        <w:rPr>
          <w:b/>
        </w:rPr>
      </w:pPr>
      <w:r w:rsidRPr="00BD2206">
        <w:rPr>
          <w:b/>
        </w:rPr>
        <w:t>Collateral.</w:t>
      </w:r>
      <w:r w:rsidRPr="00BD2206">
        <w:t xml:space="preserve">  All transition property and other collateral shall be held and administered by the indenture trustee pursuant to the indenture as described in </w:t>
      </w:r>
      <w:r w:rsidR="00DA6854" w:rsidRPr="00BD2206">
        <w:t>AEP Texas</w:t>
      </w:r>
      <w:r w:rsidRPr="00BD2206">
        <w:t xml:space="preserve">’ application.  </w:t>
      </w:r>
      <w:proofErr w:type="spellStart"/>
      <w:r w:rsidRPr="00BD2206">
        <w:t>BondCo</w:t>
      </w:r>
      <w:proofErr w:type="spellEnd"/>
      <w:r w:rsidRPr="00BD2206">
        <w:t xml:space="preserve"> shall establish a collection account with the indenture trustee as described in Finding</w:t>
      </w:r>
      <w:r w:rsidR="00C86CE2" w:rsidRPr="00BD2206">
        <w:t>s</w:t>
      </w:r>
      <w:r w:rsidRPr="00BD2206">
        <w:t xml:space="preserve"> of Fact Nos. 5</w:t>
      </w:r>
      <w:r w:rsidR="00A71D55" w:rsidRPr="00BD2206">
        <w:t>8</w:t>
      </w:r>
      <w:r w:rsidRPr="00BD2206">
        <w:t xml:space="preserve"> through 6</w:t>
      </w:r>
      <w:r w:rsidR="00A71D55" w:rsidRPr="00BD2206">
        <w:t>5</w:t>
      </w:r>
      <w:r w:rsidRPr="00BD2206">
        <w:t xml:space="preserve">.  Upon payment of the principal amount of all </w:t>
      </w:r>
      <w:r w:rsidR="00A07B85" w:rsidRPr="00BD2206">
        <w:t xml:space="preserve">system restoration </w:t>
      </w:r>
      <w:r w:rsidRPr="00BD2206">
        <w:t xml:space="preserve">bonds authorized in this Financing Order and the discharge of all obligations in respect thereof, all amounts in the collection account, including investment earnings, other than amounts in the capital subaccount, shall be released by the indenture trustee to </w:t>
      </w:r>
      <w:proofErr w:type="spellStart"/>
      <w:r w:rsidRPr="00BD2206">
        <w:t>BondCo</w:t>
      </w:r>
      <w:proofErr w:type="spellEnd"/>
      <w:r w:rsidRPr="00BD2206">
        <w:t xml:space="preserve"> for distribution in accordance with Ordering Paragraph No. 2</w:t>
      </w:r>
      <w:r w:rsidR="000D37BC" w:rsidRPr="00BD2206">
        <w:t>1</w:t>
      </w:r>
      <w:r w:rsidRPr="00BD2206">
        <w:t xml:space="preserve">.  </w:t>
      </w:r>
      <w:bookmarkStart w:id="1199" w:name="_DV_M490"/>
      <w:bookmarkEnd w:id="1199"/>
      <w:r w:rsidR="00DA6854" w:rsidRPr="00BD2206">
        <w:t>AEP Texas</w:t>
      </w:r>
      <w:r w:rsidRPr="00BD2206">
        <w:t xml:space="preserve"> shall notify the Commission within 30 days after the date that these funds are eligible to be released of the amount of such funds available for crediting to the benefit </w:t>
      </w:r>
      <w:r w:rsidR="00160493" w:rsidRPr="00BD2206">
        <w:t>of ratepayers</w:t>
      </w:r>
      <w:r w:rsidRPr="00BD2206">
        <w:t>.</w:t>
      </w:r>
    </w:p>
    <w:p w14:paraId="580ECD88" w14:textId="653D3B7E" w:rsidR="003631D6" w:rsidRPr="00BD2206" w:rsidRDefault="003631D6" w:rsidP="003631D6">
      <w:pPr>
        <w:pStyle w:val="OrderingNumbered"/>
      </w:pPr>
      <w:bookmarkStart w:id="1200" w:name="_Ref138486314"/>
      <w:r w:rsidRPr="00BD2206">
        <w:rPr>
          <w:b/>
        </w:rPr>
        <w:t>Distribution Following Repayment.</w:t>
      </w:r>
      <w:r w:rsidRPr="00BD2206">
        <w:t xml:space="preserve">  Following repayment of the </w:t>
      </w:r>
      <w:r w:rsidR="00A07B85" w:rsidRPr="00BD2206">
        <w:t xml:space="preserve">system restoration </w:t>
      </w:r>
      <w:r w:rsidRPr="00BD2206">
        <w:t xml:space="preserve">bonds authorized in this Financing Order and release of the funds held by the trustee, the servicer, on behalf of </w:t>
      </w:r>
      <w:proofErr w:type="spellStart"/>
      <w:r w:rsidRPr="00BD2206">
        <w:t>BondCo</w:t>
      </w:r>
      <w:proofErr w:type="spellEnd"/>
      <w:r w:rsidRPr="00BD2206">
        <w:t xml:space="preserve">, shall distribute to REPs and other entities responsible for collection of </w:t>
      </w:r>
      <w:r w:rsidR="00A07B85" w:rsidRPr="00BD2206">
        <w:t xml:space="preserve">system restoration </w:t>
      </w:r>
      <w:r w:rsidRPr="00BD2206">
        <w:t xml:space="preserve">charges from retail </w:t>
      </w:r>
      <w:r w:rsidR="00824E79" w:rsidRPr="00BD2206">
        <w:t>customers</w:t>
      </w:r>
      <w:r w:rsidRPr="00BD2206">
        <w:t xml:space="preserve">, the final balance of the general, excess funds, and all other subaccounts (except the capital subaccount), whether such balance is attributable to principal amounts deposited in such subaccounts or to interest thereon, remaining after all other qualified costs have been paid.  The amounts shall be distributed to each REP and other entity that paid Schedule </w:t>
      </w:r>
      <w:r w:rsidR="00A07B85" w:rsidRPr="00BD2206">
        <w:t>SR</w:t>
      </w:r>
      <w:r w:rsidRPr="00BD2206">
        <w:t xml:space="preserve">C </w:t>
      </w:r>
      <w:r w:rsidR="00A07B85" w:rsidRPr="00BD2206">
        <w:t xml:space="preserve">system restoration </w:t>
      </w:r>
      <w:r w:rsidRPr="00BD2206">
        <w:t xml:space="preserve">charges during the last 12 months that the Schedule </w:t>
      </w:r>
      <w:r w:rsidR="00A07B85" w:rsidRPr="00BD2206">
        <w:t>SR</w:t>
      </w:r>
      <w:r w:rsidRPr="00BD2206">
        <w:t xml:space="preserve">C </w:t>
      </w:r>
      <w:r w:rsidR="00A07B85" w:rsidRPr="00BD2206">
        <w:t xml:space="preserve">system restoration </w:t>
      </w:r>
      <w:r w:rsidRPr="00BD2206">
        <w:t xml:space="preserve">charges were in effect.  </w:t>
      </w:r>
      <w:proofErr w:type="spellStart"/>
      <w:r w:rsidRPr="00BD2206">
        <w:rPr>
          <w:szCs w:val="24"/>
        </w:rPr>
        <w:t>BondCo</w:t>
      </w:r>
      <w:proofErr w:type="spellEnd"/>
      <w:r w:rsidRPr="00BD2206">
        <w:rPr>
          <w:szCs w:val="24"/>
        </w:rPr>
        <w:t xml:space="preserve"> or its successor in interest to the Transition Property shall, to the extent the capital subaccount is not depleted below its original amount, also distribute to REPs and other entities responsible for collection of </w:t>
      </w:r>
      <w:r w:rsidR="00A07B85" w:rsidRPr="00BD2206">
        <w:t xml:space="preserve">system restoration </w:t>
      </w:r>
      <w:r w:rsidRPr="00BD2206">
        <w:rPr>
          <w:szCs w:val="24"/>
        </w:rPr>
        <w:t xml:space="preserve">charges from retail ratepayers any subsequently collected </w:t>
      </w:r>
      <w:r w:rsidR="00A07B85" w:rsidRPr="00BD2206">
        <w:t xml:space="preserve">system restoration </w:t>
      </w:r>
      <w:r w:rsidRPr="00BD2206">
        <w:rPr>
          <w:szCs w:val="24"/>
        </w:rPr>
        <w:t>charges.  </w:t>
      </w:r>
      <w:r w:rsidRPr="00BD2206">
        <w:t xml:space="preserve">The amount paid to each REP or other entity shall be determined by multiplying the total amount available for distribution by a fraction, the numerator of which is the total Schedule </w:t>
      </w:r>
      <w:r w:rsidR="00A07B85" w:rsidRPr="00BD2206">
        <w:t>SR</w:t>
      </w:r>
      <w:r w:rsidRPr="00BD2206">
        <w:t xml:space="preserve">C </w:t>
      </w:r>
      <w:r w:rsidR="00A07B85" w:rsidRPr="00BD2206">
        <w:t xml:space="preserve">system restoration </w:t>
      </w:r>
      <w:r w:rsidRPr="00BD2206">
        <w:t xml:space="preserve">charges paid by the REP or other entity during the last 12 months Schedule </w:t>
      </w:r>
      <w:r w:rsidR="00A07B85" w:rsidRPr="00BD2206">
        <w:t>SR</w:t>
      </w:r>
      <w:r w:rsidRPr="00BD2206">
        <w:t xml:space="preserve">C charges were in effect and the denominator of which is the total Schedule </w:t>
      </w:r>
      <w:r w:rsidR="00A07B85" w:rsidRPr="00BD2206">
        <w:t>SR</w:t>
      </w:r>
      <w:r w:rsidRPr="00BD2206">
        <w:t xml:space="preserve">C </w:t>
      </w:r>
      <w:r w:rsidR="00A07B85" w:rsidRPr="00BD2206">
        <w:t xml:space="preserve">system restoration </w:t>
      </w:r>
      <w:r w:rsidRPr="00BD2206">
        <w:t xml:space="preserve">charges paid by all REPs and other entities responsible for collection of </w:t>
      </w:r>
      <w:r w:rsidR="00A07B85" w:rsidRPr="00BD2206">
        <w:t xml:space="preserve">system restoration </w:t>
      </w:r>
      <w:r w:rsidRPr="00BD2206">
        <w:t xml:space="preserve">charges from retail </w:t>
      </w:r>
      <w:r w:rsidR="00824E79" w:rsidRPr="00BD2206">
        <w:t>customers</w:t>
      </w:r>
      <w:r w:rsidRPr="00BD2206">
        <w:t xml:space="preserve"> during the last 12 months the Schedule </w:t>
      </w:r>
      <w:r w:rsidR="00A07B85" w:rsidRPr="00BD2206">
        <w:t>SR</w:t>
      </w:r>
      <w:r w:rsidRPr="00BD2206">
        <w:t xml:space="preserve">C </w:t>
      </w:r>
      <w:r w:rsidR="00A07B85" w:rsidRPr="00BD2206">
        <w:t xml:space="preserve">system restoration </w:t>
      </w:r>
      <w:r w:rsidRPr="00BD2206">
        <w:t>charges were in effect.</w:t>
      </w:r>
      <w:bookmarkEnd w:id="1200"/>
    </w:p>
    <w:p w14:paraId="4AEFC87A" w14:textId="2F1A2469" w:rsidR="003631D6" w:rsidRPr="00BD2206" w:rsidRDefault="003631D6" w:rsidP="003631D6">
      <w:pPr>
        <w:pStyle w:val="OrderingNumbered"/>
      </w:pPr>
      <w:r w:rsidRPr="00BD2206">
        <w:rPr>
          <w:b/>
        </w:rPr>
        <w:t>Funding of Capital Subaccount.</w:t>
      </w:r>
      <w:r w:rsidRPr="00BD2206">
        <w:t xml:space="preserve">  The capital contribution by </w:t>
      </w:r>
      <w:r w:rsidR="00DA6854" w:rsidRPr="00BD2206">
        <w:t>AEP Texas</w:t>
      </w:r>
      <w:r w:rsidRPr="00BD2206">
        <w:t xml:space="preserve"> to be deposited into the capital subaccount shall, with respect to each </w:t>
      </w:r>
      <w:proofErr w:type="spellStart"/>
      <w:r w:rsidRPr="00BD2206">
        <w:t>BondCo</w:t>
      </w:r>
      <w:proofErr w:type="spellEnd"/>
      <w:r w:rsidRPr="00BD2206">
        <w:t xml:space="preserve"> and series of </w:t>
      </w:r>
      <w:r w:rsidR="00B7241C" w:rsidRPr="00BD2206">
        <w:t xml:space="preserve">system restoration </w:t>
      </w:r>
      <w:r w:rsidRPr="00BD2206">
        <w:t xml:space="preserve">bonds, be funded by </w:t>
      </w:r>
      <w:r w:rsidR="00DA6854" w:rsidRPr="00BD2206">
        <w:t>AEP Texas</w:t>
      </w:r>
      <w:r w:rsidRPr="00BD2206">
        <w:t xml:space="preserve"> and not from the proceeds of the sale of </w:t>
      </w:r>
      <w:r w:rsidR="00B7241C" w:rsidRPr="00BD2206">
        <w:t xml:space="preserve">system restoration </w:t>
      </w:r>
      <w:r w:rsidRPr="00BD2206">
        <w:t xml:space="preserve">bonds.  Upon payment of the principal amount of all </w:t>
      </w:r>
      <w:r w:rsidR="00B7241C" w:rsidRPr="00BD2206">
        <w:t xml:space="preserve">system restoration </w:t>
      </w:r>
      <w:r w:rsidRPr="00BD2206">
        <w:t xml:space="preserve">bonds and the discharge of all obligations in respect thereof, all amounts in the capital subaccount, including investment earnings, and any amounts required to replenish the capital subaccount to the level of </w:t>
      </w:r>
      <w:r w:rsidR="00DA6854" w:rsidRPr="00BD2206">
        <w:t>AEP Texas</w:t>
      </w:r>
      <w:r w:rsidRPr="00BD2206">
        <w:t xml:space="preserve">’ capital contribution and any unpaid authorized return on capital contributions in excess of 0.5% of the original principal amount of the </w:t>
      </w:r>
      <w:r w:rsidR="00B7241C" w:rsidRPr="00BD2206">
        <w:t xml:space="preserve">system restoration </w:t>
      </w:r>
      <w:r w:rsidRPr="00BD2206">
        <w:t xml:space="preserve">bonds, if any, for a series of </w:t>
      </w:r>
      <w:r w:rsidR="004100A4" w:rsidRPr="00BD2206">
        <w:t xml:space="preserve">system restoration </w:t>
      </w:r>
      <w:r w:rsidRPr="00BD2206">
        <w:t xml:space="preserve">bonds shall be released to </w:t>
      </w:r>
      <w:proofErr w:type="spellStart"/>
      <w:r w:rsidRPr="00BD2206">
        <w:t>BondCo</w:t>
      </w:r>
      <w:proofErr w:type="spellEnd"/>
      <w:r w:rsidRPr="00BD2206">
        <w:t xml:space="preserve"> for payment to </w:t>
      </w:r>
      <w:r w:rsidR="00DA6854" w:rsidRPr="00BD2206">
        <w:t>AEP Texas</w:t>
      </w:r>
      <w:r w:rsidRPr="00BD2206">
        <w:t xml:space="preserve">.  Investment earnings in this subaccount and authorized return on capital contributions in excess of 0.5% of the original principal amount of the </w:t>
      </w:r>
      <w:r w:rsidR="00B7241C" w:rsidRPr="00BD2206">
        <w:t xml:space="preserve">system restoration </w:t>
      </w:r>
      <w:r w:rsidRPr="00BD2206">
        <w:t>bonds, if any, may be released earlier in accordance with the indenture.</w:t>
      </w:r>
    </w:p>
    <w:p w14:paraId="6BEAC3A3" w14:textId="2DE1B07F" w:rsidR="003631D6" w:rsidRPr="00BD2206" w:rsidRDefault="003631D6" w:rsidP="003631D6">
      <w:pPr>
        <w:pStyle w:val="OrderingNumbered"/>
      </w:pPr>
      <w:bookmarkStart w:id="1201" w:name="_Ref138486263"/>
      <w:r w:rsidRPr="00BD2206">
        <w:rPr>
          <w:b/>
        </w:rPr>
        <w:t>Original Issue Discount, Credit Enhancement.</w:t>
      </w:r>
      <w:r w:rsidRPr="00BD2206">
        <w:t xml:space="preserve">  </w:t>
      </w:r>
      <w:r w:rsidR="00DA6854" w:rsidRPr="00BD2206">
        <w:t>AEP Texas</w:t>
      </w:r>
      <w:r w:rsidRPr="00BD2206">
        <w:t xml:space="preserve"> may provide original issue discount or provide for various forms of credit enhancement</w:t>
      </w:r>
      <w:r w:rsidR="008875CF" w:rsidRPr="00BD2206">
        <w:t>,</w:t>
      </w:r>
      <w:r w:rsidRPr="00BD2206">
        <w:t xml:space="preserve"> including letters of credit, an overcollateralization subaccount or other reserve accounts, surety bonds, and other mechanisms designed to promote the credit quality or marketability of the </w:t>
      </w:r>
      <w:r w:rsidR="00B7241C" w:rsidRPr="00BD2206">
        <w:t xml:space="preserve">system restoration </w:t>
      </w:r>
      <w:r w:rsidRPr="00BD2206">
        <w:t xml:space="preserve">bonds to the extent not prohibited by this Financing Order.  The decision to use such arrangements to enhance credit or promote marketability shall be made in conjunction with the Commission acting through its designated representative.  </w:t>
      </w:r>
      <w:r w:rsidR="00DA6854" w:rsidRPr="00BD2206">
        <w:t>AEP Texas</w:t>
      </w:r>
      <w:r w:rsidRPr="00BD2206">
        <w:t xml:space="preserve"> may not enter into an interest rate swap, currency hedge, or interest rate hedging arrangement.  </w:t>
      </w:r>
      <w:r w:rsidR="00DA6854" w:rsidRPr="00BD2206">
        <w:t>AEP Texas</w:t>
      </w:r>
      <w:r w:rsidRPr="00BD2206">
        <w:t xml:space="preserve"> may include the costs of original issue discount, credit enhancements or other arrangements to promote credit quality or marketability as qualified costs only if </w:t>
      </w:r>
      <w:r w:rsidR="00DA6854" w:rsidRPr="00BD2206">
        <w:t>AEP Texas</w:t>
      </w:r>
      <w:r w:rsidRPr="00BD2206">
        <w:t xml:space="preserve"> certifies that such arrangements are reasonably expected to provide benefits greater than their cost and such certifications are agreed with by the Commission designated representative.  </w:t>
      </w:r>
      <w:r w:rsidR="00DA6854" w:rsidRPr="00BD2206">
        <w:t>AEP Texas</w:t>
      </w:r>
      <w:r w:rsidRPr="00BD2206">
        <w:t xml:space="preserve"> shall not be required to enter any arrangements to promote credit quality or marketability unless all related costs and liabilities can be included in qualified costs.  </w:t>
      </w:r>
      <w:r w:rsidR="00DA6854" w:rsidRPr="00BD2206">
        <w:t>AEP Texas</w:t>
      </w:r>
      <w:r w:rsidRPr="00BD2206">
        <w:t xml:space="preserve"> and the Commission designated representative shall evaluate the relative benefits of the arrangements in the same way that benefits are quantified under the quantifiable benefits test.  This Ordering Paragraph does not apply to the collection account or its subaccounts approved in this Financing Order.</w:t>
      </w:r>
      <w:bookmarkEnd w:id="1201"/>
    </w:p>
    <w:p w14:paraId="286043D2" w14:textId="3F5BCE1E" w:rsidR="003631D6" w:rsidRPr="00BD2206" w:rsidRDefault="003631D6" w:rsidP="003631D6">
      <w:pPr>
        <w:pStyle w:val="OrderingNumbered"/>
      </w:pPr>
      <w:r w:rsidRPr="00BD2206">
        <w:rPr>
          <w:b/>
        </w:rPr>
        <w:t>Annual Weighted-Average Interest Rate of Bonds.</w:t>
      </w:r>
      <w:r w:rsidRPr="00BD2206">
        <w:t xml:space="preserve">  The effective weighted-average interest rate of the </w:t>
      </w:r>
      <w:r w:rsidR="00B7241C" w:rsidRPr="00BD2206">
        <w:t xml:space="preserve">system restoration </w:t>
      </w:r>
      <w:r w:rsidRPr="00BD2206">
        <w:t xml:space="preserve">bonds, excluding up-front and ongoing costs, shall not exceed </w:t>
      </w:r>
      <w:r w:rsidR="009A5528" w:rsidRPr="00BD2206">
        <w:t>6</w:t>
      </w:r>
      <w:r w:rsidR="00D12B94" w:rsidRPr="00BD2206">
        <w:t>.</w:t>
      </w:r>
      <w:r w:rsidR="009A5528" w:rsidRPr="00BD2206">
        <w:t>00</w:t>
      </w:r>
      <w:r w:rsidR="00D12B94" w:rsidRPr="00BD2206">
        <w:t xml:space="preserve">%.  </w:t>
      </w:r>
    </w:p>
    <w:p w14:paraId="10168FA8" w14:textId="7548E634" w:rsidR="003631D6" w:rsidRPr="00BD2206" w:rsidRDefault="003631D6" w:rsidP="003631D6">
      <w:pPr>
        <w:pStyle w:val="OrderingNumbered"/>
      </w:pPr>
      <w:r w:rsidRPr="00BD2206">
        <w:rPr>
          <w:b/>
        </w:rPr>
        <w:t>Life of Bonds.</w:t>
      </w:r>
      <w:r w:rsidRPr="00BD2206">
        <w:t xml:space="preserve">  The scheduled final </w:t>
      </w:r>
      <w:r w:rsidR="00B44A1C" w:rsidRPr="00BD2206">
        <w:t xml:space="preserve">payment </w:t>
      </w:r>
      <w:r w:rsidRPr="00BD2206">
        <w:t xml:space="preserve">of the </w:t>
      </w:r>
      <w:r w:rsidR="00B7241C" w:rsidRPr="00BD2206">
        <w:t xml:space="preserve">system restoration </w:t>
      </w:r>
      <w:r w:rsidRPr="00BD2206">
        <w:t>bonds authorized by this Financing Order shall not exceed 14 years.</w:t>
      </w:r>
    </w:p>
    <w:p w14:paraId="4C91D4A1" w14:textId="77777777" w:rsidR="003631D6" w:rsidRPr="00BD2206" w:rsidRDefault="003631D6" w:rsidP="003631D6">
      <w:pPr>
        <w:pStyle w:val="OrderingNumbered"/>
      </w:pPr>
      <w:r w:rsidRPr="00BD2206">
        <w:rPr>
          <w:b/>
        </w:rPr>
        <w:t xml:space="preserve">Amortization Schedule. </w:t>
      </w:r>
      <w:r w:rsidRPr="00BD2206">
        <w:t xml:space="preserve"> The Commission approves, and the </w:t>
      </w:r>
      <w:r w:rsidR="00B7241C" w:rsidRPr="00BD2206">
        <w:t xml:space="preserve">system restoration </w:t>
      </w:r>
      <w:r w:rsidRPr="00BD2206">
        <w:t xml:space="preserve">bonds shall be structured to provide a </w:t>
      </w:r>
      <w:r w:rsidR="00B7241C" w:rsidRPr="00BD2206">
        <w:t xml:space="preserve">system restoration </w:t>
      </w:r>
      <w:r w:rsidRPr="00BD2206">
        <w:t xml:space="preserve">charge that is based on substantially </w:t>
      </w:r>
      <w:proofErr w:type="spellStart"/>
      <w:r w:rsidRPr="00BD2206">
        <w:t>levelized</w:t>
      </w:r>
      <w:proofErr w:type="spellEnd"/>
      <w:r w:rsidRPr="00BD2206">
        <w:t xml:space="preserve"> annual revenue requirements over the expected life of the </w:t>
      </w:r>
      <w:r w:rsidR="00B7241C" w:rsidRPr="00BD2206">
        <w:t xml:space="preserve">system restoration </w:t>
      </w:r>
      <w:r w:rsidRPr="00BD2206">
        <w:t xml:space="preserve">bonds and utilize consistent allocation factors across rate classes, subject to modification in accordance with the true-up mechanisms adopted in this Financing Order.  The structure employing substantially </w:t>
      </w:r>
      <w:proofErr w:type="spellStart"/>
      <w:r w:rsidRPr="00BD2206">
        <w:t>levelized</w:t>
      </w:r>
      <w:proofErr w:type="spellEnd"/>
      <w:r w:rsidRPr="00BD2206">
        <w:t xml:space="preserve"> annual revenue requirements will allow the resulting </w:t>
      </w:r>
      <w:r w:rsidR="00B7241C" w:rsidRPr="00BD2206">
        <w:t xml:space="preserve">system restoration </w:t>
      </w:r>
      <w:r w:rsidRPr="00BD2206">
        <w:t xml:space="preserve">charges to remain level or decline over time, if billing determinants remain level or grow.  If the </w:t>
      </w:r>
      <w:r w:rsidR="004100A4" w:rsidRPr="00BD2206">
        <w:t xml:space="preserve">system restoration </w:t>
      </w:r>
      <w:r w:rsidRPr="00BD2206">
        <w:t xml:space="preserve">bonds are issued in more than one series, each series must meet the requirement of substantially </w:t>
      </w:r>
      <w:proofErr w:type="spellStart"/>
      <w:r w:rsidRPr="00BD2206">
        <w:t>levelized</w:t>
      </w:r>
      <w:proofErr w:type="spellEnd"/>
      <w:r w:rsidRPr="00BD2206">
        <w:t xml:space="preserve"> annual revenue requirements.</w:t>
      </w:r>
    </w:p>
    <w:p w14:paraId="119711F6" w14:textId="77777777" w:rsidR="003631D6" w:rsidRPr="00BD2206" w:rsidRDefault="003631D6" w:rsidP="003631D6">
      <w:pPr>
        <w:pStyle w:val="OrderingNumbered"/>
      </w:pPr>
      <w:r w:rsidRPr="00BD2206">
        <w:rPr>
          <w:b/>
        </w:rPr>
        <w:t>Commission Participation in Bond Issuance.</w:t>
      </w:r>
      <w:r w:rsidRPr="00BD2206">
        <w:t xml:space="preserve">  The Commission, acting through its designated representative, shall participate directly with </w:t>
      </w:r>
      <w:r w:rsidR="00DA6854" w:rsidRPr="00BD2206">
        <w:t>AEP Texas</w:t>
      </w:r>
      <w:r w:rsidRPr="00BD2206">
        <w:t xml:space="preserve"> in negotiations regarding the structuring, pricing, and marketing, and shall have equal rights with </w:t>
      </w:r>
      <w:r w:rsidR="00DA6854" w:rsidRPr="00BD2206">
        <w:t>AEP Texas</w:t>
      </w:r>
      <w:r w:rsidRPr="00BD2206">
        <w:t xml:space="preserve"> to approve or disapprove the proposed structuring, pricing, and marketing of the </w:t>
      </w:r>
      <w:r w:rsidR="00B7241C" w:rsidRPr="00BD2206">
        <w:t xml:space="preserve">system restoration </w:t>
      </w:r>
      <w:r w:rsidRPr="00BD2206">
        <w:t xml:space="preserve">bonds.  The Commission’s designated representative shall have the right to participate fully and in advance regarding all aspects of the structuring, pricing, and marketing of the </w:t>
      </w:r>
      <w:r w:rsidR="00B7241C" w:rsidRPr="00BD2206">
        <w:t xml:space="preserve">system restoration </w:t>
      </w:r>
      <w:r w:rsidRPr="00BD2206">
        <w:t xml:space="preserve">bonds (and all parties shall be notified of the designated representative’s role), and shall be provided timely information that is necessary to fulfill its obligation to the Commission.  The Commission directs its designated representative to advise the Commission of any proposal that does not comply in any material respect with the criteria established in this Financing Order and to promptly inform </w:t>
      </w:r>
      <w:r w:rsidR="00DA6854" w:rsidRPr="00BD2206">
        <w:t>AEP Texas</w:t>
      </w:r>
      <w:r w:rsidRPr="00BD2206">
        <w:t xml:space="preserve"> and the Commission of any items that, in the designated representative’s opinion, are not reasonable.  Although this Financing Order is written in the context of an underwritten offering, nothing herein shall be construed to preclude issuance of the </w:t>
      </w:r>
      <w:r w:rsidR="0005527D" w:rsidRPr="00BD2206">
        <w:t xml:space="preserve">system restoration </w:t>
      </w:r>
      <w:r w:rsidRPr="00BD2206">
        <w:t xml:space="preserve">bonds through a competitive bid offering or private placement if </w:t>
      </w:r>
      <w:r w:rsidR="00DA6854" w:rsidRPr="00BD2206">
        <w:t>AEP Texas</w:t>
      </w:r>
      <w:r w:rsidRPr="00BD2206">
        <w:t xml:space="preserve"> and the Commission’s designated representative agree that </w:t>
      </w:r>
      <w:r w:rsidR="00DA6854" w:rsidRPr="00BD2206">
        <w:t>AEP Texas</w:t>
      </w:r>
      <w:r w:rsidRPr="00BD2206">
        <w:t xml:space="preserve"> should do so.  The Commission’s designated representative shall notify </w:t>
      </w:r>
      <w:r w:rsidR="00DA6854" w:rsidRPr="00BD2206">
        <w:t>AEP Texas</w:t>
      </w:r>
      <w:r w:rsidRPr="00BD2206">
        <w:t xml:space="preserve"> and the Commission no later than 12:00 p.m. CST on the business day after the Commission’s receipt of the issuance advice letter for each series of </w:t>
      </w:r>
      <w:r w:rsidR="0005527D" w:rsidRPr="00BD2206">
        <w:t xml:space="preserve">system restoration </w:t>
      </w:r>
      <w:r w:rsidRPr="00BD2206">
        <w:t xml:space="preserve">bonds whether the structuring, marketing, and pricing of that series of </w:t>
      </w:r>
      <w:r w:rsidR="0005527D" w:rsidRPr="00BD2206">
        <w:t xml:space="preserve">system restoration </w:t>
      </w:r>
      <w:r w:rsidRPr="00BD2206">
        <w:t>bonds comply with the criteria established in this Financing Order.</w:t>
      </w:r>
    </w:p>
    <w:p w14:paraId="6B98CC4D" w14:textId="77777777" w:rsidR="003631D6" w:rsidRPr="00BD2206" w:rsidRDefault="003631D6" w:rsidP="003631D6">
      <w:pPr>
        <w:pStyle w:val="OrderingNumbered"/>
      </w:pPr>
      <w:r w:rsidRPr="00BD2206">
        <w:rPr>
          <w:b/>
        </w:rPr>
        <w:t xml:space="preserve">Use of </w:t>
      </w:r>
      <w:proofErr w:type="spellStart"/>
      <w:r w:rsidRPr="00BD2206">
        <w:rPr>
          <w:b/>
        </w:rPr>
        <w:t>BondCo</w:t>
      </w:r>
      <w:proofErr w:type="spellEnd"/>
      <w:r w:rsidRPr="00BD2206">
        <w:rPr>
          <w:b/>
        </w:rPr>
        <w:t>.</w:t>
      </w:r>
      <w:r w:rsidRPr="00BD2206">
        <w:t xml:space="preserve">  </w:t>
      </w:r>
      <w:r w:rsidR="00DA6854" w:rsidRPr="00BD2206">
        <w:t>AEP Texas</w:t>
      </w:r>
      <w:r w:rsidRPr="00BD2206">
        <w:t xml:space="preserve"> shall use </w:t>
      </w:r>
      <w:proofErr w:type="spellStart"/>
      <w:r w:rsidRPr="00BD2206">
        <w:t>BondCo</w:t>
      </w:r>
      <w:proofErr w:type="spellEnd"/>
      <w:r w:rsidRPr="00BD2206">
        <w:t xml:space="preserve">, a special purpose transition funding entity as proposed in its application, in conjunction with the issuance of a series of </w:t>
      </w:r>
      <w:r w:rsidR="0005527D" w:rsidRPr="00BD2206">
        <w:t xml:space="preserve">system restoration </w:t>
      </w:r>
      <w:r w:rsidRPr="00BD2206">
        <w:t xml:space="preserve">bonds authorized under this Financing Order.  </w:t>
      </w:r>
      <w:proofErr w:type="spellStart"/>
      <w:r w:rsidRPr="00BD2206">
        <w:t>BondCo</w:t>
      </w:r>
      <w:proofErr w:type="spellEnd"/>
      <w:r w:rsidRPr="00BD2206">
        <w:t xml:space="preserve"> shall be funded with an amount of capital that is sufficient for </w:t>
      </w:r>
      <w:proofErr w:type="spellStart"/>
      <w:r w:rsidRPr="00BD2206">
        <w:t>BondCo</w:t>
      </w:r>
      <w:proofErr w:type="spellEnd"/>
      <w:r w:rsidRPr="00BD2206">
        <w:t xml:space="preserve"> to carry out its intended functions and to avoid the possibility that </w:t>
      </w:r>
      <w:r w:rsidR="00DA6854" w:rsidRPr="00BD2206">
        <w:t>AEP Texas</w:t>
      </w:r>
      <w:r w:rsidRPr="00BD2206">
        <w:t xml:space="preserve"> would have to extend funds to </w:t>
      </w:r>
      <w:proofErr w:type="spellStart"/>
      <w:r w:rsidRPr="00BD2206">
        <w:t>BondCo</w:t>
      </w:r>
      <w:proofErr w:type="spellEnd"/>
      <w:r w:rsidRPr="00BD2206">
        <w:t xml:space="preserve"> in a manner that could jeopardize the bankruptcy remoteness of </w:t>
      </w:r>
      <w:proofErr w:type="spellStart"/>
      <w:r w:rsidRPr="00BD2206">
        <w:t>BondCo</w:t>
      </w:r>
      <w:proofErr w:type="spellEnd"/>
      <w:r w:rsidRPr="00BD2206">
        <w:t xml:space="preserve">.  </w:t>
      </w:r>
      <w:r w:rsidR="00DA6854" w:rsidRPr="00BD2206">
        <w:t>AEP Texas</w:t>
      </w:r>
      <w:r w:rsidRPr="00BD2206">
        <w:t xml:space="preserve"> may create more than one </w:t>
      </w:r>
      <w:proofErr w:type="spellStart"/>
      <w:r w:rsidRPr="00BD2206">
        <w:t>BondCo</w:t>
      </w:r>
      <w:proofErr w:type="spellEnd"/>
      <w:r w:rsidRPr="00BD2206">
        <w:t xml:space="preserve"> in which event, the rights, structure, and restrictions described in this Financing Order with respect to </w:t>
      </w:r>
      <w:proofErr w:type="spellStart"/>
      <w:r w:rsidRPr="00BD2206">
        <w:t>BondCo</w:t>
      </w:r>
      <w:proofErr w:type="spellEnd"/>
      <w:r w:rsidRPr="00BD2206">
        <w:t xml:space="preserve"> would be applicable to each purchaser of transition property to the extent of the transition property sold to it and the </w:t>
      </w:r>
      <w:r w:rsidR="0005527D" w:rsidRPr="00BD2206">
        <w:t xml:space="preserve">system restoration </w:t>
      </w:r>
      <w:r w:rsidRPr="00BD2206">
        <w:t>bonds issued by it.</w:t>
      </w:r>
    </w:p>
    <w:p w14:paraId="5FE2A02E" w14:textId="77777777" w:rsidR="003631D6" w:rsidRPr="00BD2206" w:rsidRDefault="005F1EE2" w:rsidP="005F1EE2">
      <w:pPr>
        <w:pStyle w:val="Heading2"/>
      </w:pPr>
      <w:bookmarkStart w:id="1202" w:name="_Toc88378190"/>
      <w:bookmarkStart w:id="1203" w:name="_Toc88379162"/>
      <w:bookmarkStart w:id="1204" w:name="_Toc88379384"/>
      <w:bookmarkStart w:id="1205" w:name="_Toc88379604"/>
      <w:bookmarkStart w:id="1206" w:name="_Toc88379822"/>
      <w:bookmarkStart w:id="1207" w:name="_Toc88380010"/>
      <w:bookmarkStart w:id="1208" w:name="_Toc88380188"/>
      <w:bookmarkStart w:id="1209" w:name="_Toc88380295"/>
      <w:bookmarkStart w:id="1210" w:name="_Toc88380457"/>
      <w:bookmarkStart w:id="1211" w:name="_Toc88380549"/>
      <w:bookmarkStart w:id="1212" w:name="_Toc88380641"/>
      <w:bookmarkStart w:id="1213" w:name="_Toc97535689"/>
      <w:bookmarkStart w:id="1214" w:name="_Toc158028423"/>
      <w:bookmarkStart w:id="1215" w:name="_Toc177539474"/>
      <w:r w:rsidRPr="00BD2206">
        <w:t xml:space="preserve">  </w:t>
      </w:r>
      <w:bookmarkStart w:id="1216" w:name="_Toc2778522"/>
      <w:r w:rsidR="003631D6" w:rsidRPr="00BD2206">
        <w:t>Servicing</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1427E872" w14:textId="3FFF2BBE" w:rsidR="003631D6" w:rsidRPr="00BD2206" w:rsidRDefault="003631D6" w:rsidP="003631D6">
      <w:pPr>
        <w:pStyle w:val="OrderingNumbered"/>
      </w:pPr>
      <w:bookmarkStart w:id="1217" w:name="_Ref138486352"/>
      <w:r w:rsidRPr="00BD2206">
        <w:rPr>
          <w:b/>
        </w:rPr>
        <w:t xml:space="preserve">Servicing Agreement.  </w:t>
      </w:r>
      <w:r w:rsidRPr="00BD2206">
        <w:t xml:space="preserve">The Commission authorizes </w:t>
      </w:r>
      <w:r w:rsidR="00DA6854" w:rsidRPr="00BD2206">
        <w:t>AEP Texas</w:t>
      </w:r>
      <w:r w:rsidRPr="00BD2206">
        <w:t xml:space="preserve"> to enter into the servicing agreement with </w:t>
      </w:r>
      <w:proofErr w:type="spellStart"/>
      <w:r w:rsidRPr="00BD2206">
        <w:t>BondCo</w:t>
      </w:r>
      <w:proofErr w:type="spellEnd"/>
      <w:r w:rsidRPr="00BD2206">
        <w:t xml:space="preserve"> and to perform the servicing duties approved in this Financing Order.  Without limiting the foregoing, in its capacity as initial servicer of the transition property, </w:t>
      </w:r>
      <w:r w:rsidR="00DA6854" w:rsidRPr="00BD2206">
        <w:t>AEP Texas</w:t>
      </w:r>
      <w:r w:rsidRPr="00BD2206">
        <w:t xml:space="preserve"> is authorized to calculate, bill and collect for the account of </w:t>
      </w:r>
      <w:proofErr w:type="spellStart"/>
      <w:r w:rsidRPr="00BD2206">
        <w:t>BondCo</w:t>
      </w:r>
      <w:proofErr w:type="spellEnd"/>
      <w:r w:rsidRPr="00BD2206">
        <w:t xml:space="preserve">, the </w:t>
      </w:r>
      <w:r w:rsidR="0005527D" w:rsidRPr="00BD2206">
        <w:t xml:space="preserve">system restoration </w:t>
      </w:r>
      <w:r w:rsidRPr="00BD2206">
        <w:t xml:space="preserve">charges initially authorized in this Financing Order, as adjusted from time to time to meet the Periodic Payment Requirements as provided in this Financing Order; and to make such filings and take such other actions as are required or permitted by this Financing Order in connection with the periodic true-ups described in this Financing Order.  The servicer shall be entitled to collect servicing fees in accordance with the provisions of the servicing agreement, provided that, as set forth in Appendix C, the annual servicing fee payable to </w:t>
      </w:r>
      <w:r w:rsidR="00DA6854" w:rsidRPr="00BD2206">
        <w:t>AEP Texas</w:t>
      </w:r>
      <w:r w:rsidRPr="00BD2206">
        <w:t xml:space="preserve"> while it is serving as servicer (or to any other servicer affiliated with </w:t>
      </w:r>
      <w:r w:rsidR="00DA6854" w:rsidRPr="00BD2206">
        <w:t>AEP Texas</w:t>
      </w:r>
      <w:r w:rsidRPr="00BD2206">
        <w:t>) shall not at any time exceed 0.</w:t>
      </w:r>
      <w:r w:rsidR="000153C8" w:rsidRPr="00BD2206">
        <w:t>10</w:t>
      </w:r>
      <w:r w:rsidRPr="00BD2206">
        <w:t xml:space="preserve">% of the original principal amount of the </w:t>
      </w:r>
      <w:r w:rsidR="0005527D" w:rsidRPr="00BD2206">
        <w:t xml:space="preserve">system restoration </w:t>
      </w:r>
      <w:r w:rsidRPr="00BD2206">
        <w:t xml:space="preserve">bonds.  The annual servicing fee payable to any other servicer not affiliated with </w:t>
      </w:r>
      <w:r w:rsidR="00DA6854" w:rsidRPr="00BD2206">
        <w:t>AEP Texas</w:t>
      </w:r>
      <w:r w:rsidRPr="00BD2206">
        <w:t xml:space="preserve"> shall not at any time exceed 0.6% of the original principal amount of the </w:t>
      </w:r>
      <w:r w:rsidR="0005527D" w:rsidRPr="00BD2206">
        <w:t xml:space="preserve">system restoration </w:t>
      </w:r>
      <w:r w:rsidRPr="00BD2206">
        <w:t>bonds unless such higher rate is approved by the Commission pursuant to Ordering Paragraph No. 3</w:t>
      </w:r>
      <w:r w:rsidR="000153C8" w:rsidRPr="00BD2206">
        <w:t>2</w:t>
      </w:r>
      <w:r w:rsidRPr="00BD2206">
        <w:t xml:space="preserve">.  The servicing agreement shall contain a recital clause that the Commission, or its attorney, will enforce the servicing agreement for the benefit of Texas ratepayers to the extent permitted by law.  The servicing agreement shall also include a provision that </w:t>
      </w:r>
      <w:r w:rsidR="00DA6854" w:rsidRPr="00BD2206">
        <w:t>AEP Texas</w:t>
      </w:r>
      <w:r w:rsidRPr="00BD2206">
        <w:t xml:space="preserve"> shall indemnify the Commission (for the benefit of retail </w:t>
      </w:r>
      <w:r w:rsidR="00824E79" w:rsidRPr="00BD2206">
        <w:t>customers</w:t>
      </w:r>
      <w:r w:rsidRPr="00BD2206">
        <w:t xml:space="preserve">) in connection with any increase in servicing fees that become payable as a result of a default resulting from </w:t>
      </w:r>
      <w:r w:rsidR="00DA6854" w:rsidRPr="00BD2206">
        <w:t>AEP Texas</w:t>
      </w:r>
      <w:r w:rsidR="00122BE7" w:rsidRPr="00BD2206">
        <w:t>’</w:t>
      </w:r>
      <w:r w:rsidRPr="00BD2206">
        <w:t xml:space="preserve"> willful misconduct, bad faith, or negligence in performance of its duties or observance of its covenants under the servicing agreement.  The indemnity will be enforced by the Commission but will not be enforceable by any REP or retail </w:t>
      </w:r>
      <w:r w:rsidR="004B10F4" w:rsidRPr="00BD2206">
        <w:t>customer</w:t>
      </w:r>
      <w:r w:rsidRPr="00BD2206">
        <w:t>.</w:t>
      </w:r>
      <w:bookmarkEnd w:id="1217"/>
    </w:p>
    <w:p w14:paraId="5A0D07D2" w14:textId="77777777" w:rsidR="003631D6" w:rsidRPr="00BD2206" w:rsidRDefault="003631D6" w:rsidP="003631D6">
      <w:pPr>
        <w:pStyle w:val="OrderingNumbered"/>
      </w:pPr>
      <w:r w:rsidRPr="00BD2206">
        <w:rPr>
          <w:b/>
        </w:rPr>
        <w:t xml:space="preserve">Administration Agreement.  </w:t>
      </w:r>
      <w:r w:rsidRPr="00BD2206">
        <w:t xml:space="preserve">The Commission authorizes </w:t>
      </w:r>
      <w:r w:rsidR="00DA6854" w:rsidRPr="00BD2206">
        <w:t>AEP Texas</w:t>
      </w:r>
      <w:r w:rsidRPr="00BD2206">
        <w:t xml:space="preserve"> to enter into an administration agreement with each </w:t>
      </w:r>
      <w:proofErr w:type="spellStart"/>
      <w:r w:rsidRPr="00BD2206">
        <w:t>BondCo</w:t>
      </w:r>
      <w:proofErr w:type="spellEnd"/>
      <w:r w:rsidRPr="00BD2206">
        <w:t xml:space="preserve"> to provide the services covered by the administration agreements in </w:t>
      </w:r>
      <w:r w:rsidR="00DA6854" w:rsidRPr="00BD2206">
        <w:t>AEP Texas</w:t>
      </w:r>
      <w:r w:rsidR="00122BE7" w:rsidRPr="00BD2206">
        <w:t>’</w:t>
      </w:r>
      <w:r w:rsidRPr="00BD2206">
        <w:t xml:space="preserve"> prior securitization transactions.  The fee charged by </w:t>
      </w:r>
      <w:r w:rsidR="00DA6854" w:rsidRPr="00BD2206">
        <w:t>AEP Texas</w:t>
      </w:r>
      <w:r w:rsidRPr="00BD2206">
        <w:t xml:space="preserve"> as administrator under that agreement shall not exceed $100,000 per annum per </w:t>
      </w:r>
      <w:proofErr w:type="spellStart"/>
      <w:r w:rsidRPr="00BD2206">
        <w:t>BondCo</w:t>
      </w:r>
      <w:proofErr w:type="spellEnd"/>
      <w:r w:rsidRPr="00BD2206">
        <w:t xml:space="preserve"> plus reimbursable third party costs.</w:t>
      </w:r>
    </w:p>
    <w:p w14:paraId="40F1FC26" w14:textId="77777777" w:rsidR="003631D6" w:rsidRPr="00BD2206" w:rsidRDefault="003631D6" w:rsidP="003631D6">
      <w:pPr>
        <w:pStyle w:val="OrderingNumbered"/>
      </w:pPr>
      <w:r w:rsidRPr="00BD2206">
        <w:rPr>
          <w:b/>
        </w:rPr>
        <w:t>Servicing and Administration Agreement Revenues</w:t>
      </w:r>
      <w:r w:rsidRPr="00BD2206">
        <w:t xml:space="preserve">.  The servicing and administrative fees collected by </w:t>
      </w:r>
      <w:r w:rsidR="00DA6854" w:rsidRPr="00BD2206">
        <w:t>AEP Texas</w:t>
      </w:r>
      <w:r w:rsidRPr="00BD2206">
        <w:t xml:space="preserve">, or any affiliate of </w:t>
      </w:r>
      <w:r w:rsidR="00DA6854" w:rsidRPr="00BD2206">
        <w:t>AEP Texas</w:t>
      </w:r>
      <w:r w:rsidRPr="00BD2206">
        <w:t xml:space="preserve">, acting as either the servicer or the administrator under the servicing agreement or administration agreement, shall be included as a revenue credit and reduce revenue requirements in each </w:t>
      </w:r>
      <w:r w:rsidR="00DA6854" w:rsidRPr="00BD2206">
        <w:t>AEP Texas</w:t>
      </w:r>
      <w:r w:rsidRPr="00BD2206">
        <w:t xml:space="preserve"> base rate case.  The expenses incurred by </w:t>
      </w:r>
      <w:r w:rsidR="00DA6854" w:rsidRPr="00BD2206">
        <w:t>AEP Texas</w:t>
      </w:r>
      <w:r w:rsidRPr="00BD2206">
        <w:t xml:space="preserve"> or such affiliate to perform obligations under the servicing agreement and the administration agreement shall likewise be included as a cost of service in each </w:t>
      </w:r>
      <w:r w:rsidR="00DA6854" w:rsidRPr="00BD2206">
        <w:t>AEP Texas</w:t>
      </w:r>
      <w:r w:rsidRPr="00BD2206">
        <w:t xml:space="preserve"> base rate case.</w:t>
      </w:r>
    </w:p>
    <w:p w14:paraId="1E63171F" w14:textId="3F1501A0" w:rsidR="003631D6" w:rsidRPr="00BD2206" w:rsidRDefault="003631D6" w:rsidP="003631D6">
      <w:pPr>
        <w:pStyle w:val="OrderingNumbered"/>
      </w:pPr>
      <w:bookmarkStart w:id="1218" w:name="_Ref138486290"/>
      <w:r w:rsidRPr="00BD2206">
        <w:rPr>
          <w:b/>
        </w:rPr>
        <w:t xml:space="preserve">Replacement of </w:t>
      </w:r>
      <w:r w:rsidR="00DA6854" w:rsidRPr="00BD2206">
        <w:rPr>
          <w:b/>
        </w:rPr>
        <w:t>AEP Texas</w:t>
      </w:r>
      <w:r w:rsidRPr="00BD2206">
        <w:rPr>
          <w:b/>
        </w:rPr>
        <w:t xml:space="preserve"> as Servicer.</w:t>
      </w:r>
      <w:r w:rsidRPr="00BD2206">
        <w:t xml:space="preserve">  Upon the occurrence of an event of default under the servicing agreement relating to servicer’s performance of its servicing functions with respect to the </w:t>
      </w:r>
      <w:r w:rsidR="0005527D" w:rsidRPr="00BD2206">
        <w:t xml:space="preserve">system restoration </w:t>
      </w:r>
      <w:r w:rsidRPr="00BD2206">
        <w:t xml:space="preserve">charges, the financing parties may replace </w:t>
      </w:r>
      <w:r w:rsidR="00DA6854" w:rsidRPr="00BD2206">
        <w:t>AEP Texas</w:t>
      </w:r>
      <w:r w:rsidRPr="00BD2206">
        <w:t xml:space="preserve"> as the servicer in accordance with the terms of the servicing agreement.  If the servicing fee of the replacement servicer will exceed the applicable maximum servicing fee specified in Ordering Paragraph No. 2</w:t>
      </w:r>
      <w:r w:rsidR="00B44A1C" w:rsidRPr="00BD2206">
        <w:t>9</w:t>
      </w:r>
      <w:r w:rsidRPr="00BD2206">
        <w:t xml:space="preserve">, the replacement servicer shall not begin providing service until (i) the date the Commission approves the appointment of such replacement servicer or (ii) if the Commission does not act to either approve or disapprove the appointment, the date which is 45 days after notice of appointment of the replacement servicer is provided to the Commission.  No entity may replace </w:t>
      </w:r>
      <w:r w:rsidR="00DA6854" w:rsidRPr="00BD2206">
        <w:t>AEP Texas</w:t>
      </w:r>
      <w:r w:rsidRPr="00BD2206">
        <w:t xml:space="preserve"> as the servicer in any of its servicing functions with respect to the </w:t>
      </w:r>
      <w:r w:rsidR="0005527D" w:rsidRPr="00BD2206">
        <w:t xml:space="preserve">system restoration </w:t>
      </w:r>
      <w:r w:rsidRPr="00BD2206">
        <w:t xml:space="preserve">charges and the transition property authorized by this Financing Order, if the replacement would cause any of the then current credit ratings of the </w:t>
      </w:r>
      <w:r w:rsidR="0005527D" w:rsidRPr="00BD2206">
        <w:t xml:space="preserve">system restoration </w:t>
      </w:r>
      <w:r w:rsidRPr="00BD2206">
        <w:t>bonds to be suspended, withdrawn, or downgraded.</w:t>
      </w:r>
      <w:bookmarkEnd w:id="1218"/>
      <w:r w:rsidRPr="00BD2206">
        <w:t xml:space="preserve">  </w:t>
      </w:r>
    </w:p>
    <w:p w14:paraId="5A7AC784" w14:textId="77777777" w:rsidR="003631D6" w:rsidRPr="00BD2206" w:rsidRDefault="003631D6" w:rsidP="003631D6">
      <w:pPr>
        <w:pStyle w:val="OrderingNumbered"/>
      </w:pPr>
      <w:bookmarkStart w:id="1219" w:name="_Toc88378194"/>
      <w:bookmarkStart w:id="1220" w:name="_Toc88379166"/>
      <w:bookmarkStart w:id="1221" w:name="_Toc88379388"/>
      <w:bookmarkStart w:id="1222" w:name="_Toc88379608"/>
      <w:bookmarkStart w:id="1223" w:name="_Toc88379826"/>
      <w:bookmarkStart w:id="1224" w:name="_Toc88380014"/>
      <w:bookmarkStart w:id="1225" w:name="_Toc88380192"/>
      <w:r w:rsidRPr="00BD2206">
        <w:rPr>
          <w:b/>
        </w:rPr>
        <w:t>Amendment of Agreements.</w:t>
      </w:r>
      <w:r w:rsidRPr="00BD2206">
        <w:t xml:space="preserve">  The parties to the servicing agreement, administration agreement, indenture, and transition property purchase and sale agreement may amend the terms of such agreements; provided, however, that no amendment to any such agreement shall increase the ongoing qualified costs without the approval of the Commission.  Any amendment that does not increase the ongoing qualified costs shall be effective without prior Commission authorization.  Any amendment to any such agreement that may have the effect of increasing ongoing qualified costs shall be provided by </w:t>
      </w:r>
      <w:proofErr w:type="spellStart"/>
      <w:r w:rsidRPr="00BD2206">
        <w:t>BondCo</w:t>
      </w:r>
      <w:proofErr w:type="spellEnd"/>
      <w:r w:rsidRPr="00BD2206">
        <w:t xml:space="preserve"> to the Commission along with a statement as to the possible effect of the amendment on the ongoing qualified costs.  The amendment shall become effective on the later of (i) the date proposed by the parties to the amendment or (ii) 31 days after such submission to the Commission unless the Commission issues an order disapproving the amendment within a 30-day period.</w:t>
      </w:r>
    </w:p>
    <w:p w14:paraId="33450931" w14:textId="77777777" w:rsidR="003631D6" w:rsidRPr="00BD2206" w:rsidRDefault="003631D6" w:rsidP="003631D6">
      <w:pPr>
        <w:pStyle w:val="OrderingNumbered"/>
      </w:pPr>
      <w:r w:rsidRPr="00BD2206">
        <w:rPr>
          <w:b/>
        </w:rPr>
        <w:t>Collection Terms.</w:t>
      </w:r>
      <w:r w:rsidRPr="00BD2206">
        <w:t xml:space="preserve">  The servicer shall remit collections of the </w:t>
      </w:r>
      <w:r w:rsidR="0005527D" w:rsidRPr="00BD2206">
        <w:t xml:space="preserve">system restoration </w:t>
      </w:r>
      <w:r w:rsidRPr="00BD2206">
        <w:t xml:space="preserve">charges to </w:t>
      </w:r>
      <w:proofErr w:type="spellStart"/>
      <w:r w:rsidRPr="00BD2206">
        <w:t>BondCo</w:t>
      </w:r>
      <w:proofErr w:type="spellEnd"/>
      <w:r w:rsidRPr="00BD2206">
        <w:t xml:space="preserve"> or the indenture trustee for </w:t>
      </w:r>
      <w:proofErr w:type="spellStart"/>
      <w:r w:rsidRPr="00BD2206">
        <w:t>BondCo’s</w:t>
      </w:r>
      <w:proofErr w:type="spellEnd"/>
      <w:r w:rsidRPr="00BD2206">
        <w:t xml:space="preserve"> account in accordance with the terms of the servicing agreement.</w:t>
      </w:r>
    </w:p>
    <w:bookmarkEnd w:id="1219"/>
    <w:bookmarkEnd w:id="1220"/>
    <w:bookmarkEnd w:id="1221"/>
    <w:bookmarkEnd w:id="1222"/>
    <w:bookmarkEnd w:id="1223"/>
    <w:bookmarkEnd w:id="1224"/>
    <w:bookmarkEnd w:id="1225"/>
    <w:p w14:paraId="7A7E6866" w14:textId="77777777" w:rsidR="003631D6" w:rsidRPr="00BD2206" w:rsidRDefault="003631D6" w:rsidP="003631D6">
      <w:pPr>
        <w:pStyle w:val="OrderingNumbered"/>
      </w:pPr>
      <w:r w:rsidRPr="00BD2206">
        <w:rPr>
          <w:b/>
        </w:rPr>
        <w:t>Contract to Provide Service.</w:t>
      </w:r>
      <w:r w:rsidRPr="00BD2206">
        <w:t xml:space="preserve">  To the extent that any interest in the transition property created by this Financing Order is assigned, sold or transferred to an assignee, </w:t>
      </w:r>
      <w:r w:rsidR="00DA6854" w:rsidRPr="00BD2206">
        <w:t>AEP Texas</w:t>
      </w:r>
      <w:r w:rsidRPr="00BD2206">
        <w:t xml:space="preserve"> shall enter into a contract with that assignee that requires </w:t>
      </w:r>
      <w:r w:rsidR="00DA6854" w:rsidRPr="00BD2206">
        <w:t>AEP Texas</w:t>
      </w:r>
      <w:r w:rsidRPr="00BD2206">
        <w:t xml:space="preserve"> to continue to operate its transmission and distribution system in order to provide electric services to </w:t>
      </w:r>
      <w:r w:rsidR="00DA6854" w:rsidRPr="00BD2206">
        <w:t>AEP Texas</w:t>
      </w:r>
      <w:r w:rsidRPr="00BD2206">
        <w:t xml:space="preserve">’ customers; provided, however, that this provision shall not prohibit </w:t>
      </w:r>
      <w:r w:rsidR="00DA6854" w:rsidRPr="00BD2206">
        <w:t>AEP Texas</w:t>
      </w:r>
      <w:r w:rsidRPr="00BD2206">
        <w:t xml:space="preserve"> from selling, assigning, or otherwise divesting its transmission and distribution systems or any part thereof so long as the entities acquiring such system agree to continue operating the facilities to provide electric service to </w:t>
      </w:r>
      <w:r w:rsidR="00DA6854" w:rsidRPr="00BD2206">
        <w:t>AEP Texas</w:t>
      </w:r>
      <w:r w:rsidR="0005527D" w:rsidRPr="00BD2206">
        <w:t>’</w:t>
      </w:r>
      <w:r w:rsidRPr="00BD2206">
        <w:t xml:space="preserve"> customers.</w:t>
      </w:r>
    </w:p>
    <w:p w14:paraId="5E781BD2" w14:textId="1543BE35" w:rsidR="003631D6" w:rsidRPr="00BD2206" w:rsidRDefault="003631D6" w:rsidP="003631D6">
      <w:pPr>
        <w:pStyle w:val="OrderingNumbered"/>
      </w:pPr>
      <w:r w:rsidRPr="00BD2206">
        <w:rPr>
          <w:b/>
        </w:rPr>
        <w:t>SEC Requirements.</w:t>
      </w:r>
      <w:r w:rsidRPr="00BD2206">
        <w:t xml:space="preserve">  Each REP or other entity responsible for collecting </w:t>
      </w:r>
      <w:r w:rsidR="009761B6" w:rsidRPr="00BD2206">
        <w:t xml:space="preserve">system restoration </w:t>
      </w:r>
      <w:r w:rsidRPr="00BD2206">
        <w:t xml:space="preserve">charges from retail </w:t>
      </w:r>
      <w:r w:rsidR="00824E79" w:rsidRPr="00BD2206">
        <w:t>customers</w:t>
      </w:r>
      <w:r w:rsidRPr="00BD2206">
        <w:t xml:space="preserve"> shall furnish to </w:t>
      </w:r>
      <w:proofErr w:type="spellStart"/>
      <w:r w:rsidRPr="00BD2206">
        <w:t>BondCo</w:t>
      </w:r>
      <w:proofErr w:type="spellEnd"/>
      <w:r w:rsidRPr="00BD2206">
        <w:t xml:space="preserve"> or </w:t>
      </w:r>
      <w:r w:rsidR="00DA6854" w:rsidRPr="00BD2206">
        <w:t>AEP Texas</w:t>
      </w:r>
      <w:r w:rsidRPr="00BD2206">
        <w:t xml:space="preserve"> or to any successor servicer information and documents necessary to enable </w:t>
      </w:r>
      <w:proofErr w:type="spellStart"/>
      <w:r w:rsidRPr="00BD2206">
        <w:t>BondCo</w:t>
      </w:r>
      <w:proofErr w:type="spellEnd"/>
      <w:r w:rsidRPr="00BD2206">
        <w:t xml:space="preserve"> or </w:t>
      </w:r>
      <w:r w:rsidR="00DA6854" w:rsidRPr="00BD2206">
        <w:t>AEP Texas</w:t>
      </w:r>
      <w:r w:rsidRPr="00BD2206">
        <w:t xml:space="preserve"> or any successor servicer to comply with their respective disclosure and reporting requirements, if any, with respect to the </w:t>
      </w:r>
      <w:r w:rsidR="00B142A0" w:rsidRPr="00BD2206">
        <w:t xml:space="preserve">system restoration </w:t>
      </w:r>
      <w:r w:rsidRPr="00BD2206">
        <w:t>bonds under federal securities laws.</w:t>
      </w:r>
    </w:p>
    <w:p w14:paraId="40D0306A" w14:textId="77777777" w:rsidR="003631D6" w:rsidRPr="00BD2206" w:rsidRDefault="005F1EE2" w:rsidP="003631D6">
      <w:pPr>
        <w:pStyle w:val="Heading2"/>
      </w:pPr>
      <w:bookmarkStart w:id="1226" w:name="_Toc88378195"/>
      <w:bookmarkStart w:id="1227" w:name="_Toc88379167"/>
      <w:bookmarkStart w:id="1228" w:name="_Toc88379389"/>
      <w:bookmarkStart w:id="1229" w:name="_Toc88379609"/>
      <w:bookmarkStart w:id="1230" w:name="_Toc88379827"/>
      <w:bookmarkStart w:id="1231" w:name="_Toc88380015"/>
      <w:bookmarkStart w:id="1232" w:name="_Toc88380193"/>
      <w:bookmarkStart w:id="1233" w:name="_Toc88380296"/>
      <w:bookmarkStart w:id="1234" w:name="_Toc88380458"/>
      <w:bookmarkStart w:id="1235" w:name="_Toc88380550"/>
      <w:bookmarkStart w:id="1236" w:name="_Toc88380642"/>
      <w:bookmarkStart w:id="1237" w:name="_Toc97535690"/>
      <w:bookmarkStart w:id="1238" w:name="_Toc158028424"/>
      <w:bookmarkStart w:id="1239" w:name="_Toc177539475"/>
      <w:r w:rsidRPr="00BD2206">
        <w:t xml:space="preserve">  </w:t>
      </w:r>
      <w:bookmarkStart w:id="1240" w:name="_Toc2778523"/>
      <w:r w:rsidR="003631D6" w:rsidRPr="00BD2206">
        <w:t>Retail Electric Providers</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p>
    <w:p w14:paraId="0DDE2648" w14:textId="383CA408" w:rsidR="003631D6" w:rsidRPr="00BD2206" w:rsidRDefault="003631D6" w:rsidP="003631D6">
      <w:pPr>
        <w:pStyle w:val="OrderingNumbered"/>
      </w:pPr>
      <w:r w:rsidRPr="00BD2206">
        <w:rPr>
          <w:b/>
        </w:rPr>
        <w:t>REP Billing and Credit Standards.</w:t>
      </w:r>
      <w:r w:rsidRPr="00BD2206">
        <w:t xml:space="preserve">  The Commission approves the REP standards detailed in Finding of Fact No. 5</w:t>
      </w:r>
      <w:r w:rsidR="00F60381" w:rsidRPr="00BD2206">
        <w:t>3</w:t>
      </w:r>
      <w:r w:rsidRPr="00BD2206">
        <w:t xml:space="preserve">.  These proposed REP standards relate only to the billing and collection of </w:t>
      </w:r>
      <w:r w:rsidR="00733F7B" w:rsidRPr="00BD2206">
        <w:t xml:space="preserve">system restoration </w:t>
      </w:r>
      <w:r w:rsidRPr="00BD2206">
        <w:t xml:space="preserve">charges authorized under this Financing Order, and do not apply to collection of any other </w:t>
      </w:r>
      <w:proofErr w:type="spellStart"/>
      <w:r w:rsidRPr="00BD2206">
        <w:t>nonbypassable</w:t>
      </w:r>
      <w:proofErr w:type="spellEnd"/>
      <w:r w:rsidRPr="00BD2206">
        <w:t xml:space="preserve"> charges or other charges.  The standards apply to all REPs other than REPs that have contracted with </w:t>
      </w:r>
      <w:r w:rsidR="00DA6854" w:rsidRPr="00BD2206">
        <w:t>AEP Texas</w:t>
      </w:r>
      <w:r w:rsidRPr="00BD2206">
        <w:t xml:space="preserve"> to have </w:t>
      </w:r>
      <w:r w:rsidR="00DA6854" w:rsidRPr="00BD2206">
        <w:t>AEP Texas</w:t>
      </w:r>
      <w:r w:rsidRPr="00BD2206">
        <w:t xml:space="preserve"> bill and collect </w:t>
      </w:r>
      <w:r w:rsidR="00733F7B" w:rsidRPr="00BD2206">
        <w:t xml:space="preserve">system restoration </w:t>
      </w:r>
      <w:r w:rsidRPr="00BD2206">
        <w:t xml:space="preserve">charges from retail </w:t>
      </w:r>
      <w:r w:rsidR="00824E79" w:rsidRPr="00BD2206">
        <w:t>customers</w:t>
      </w:r>
      <w:r w:rsidRPr="00BD2206">
        <w:t xml:space="preserve">.  REPs may contract with parties other than </w:t>
      </w:r>
      <w:r w:rsidR="00DA6854" w:rsidRPr="00BD2206">
        <w:t>AEP Texas</w:t>
      </w:r>
      <w:r w:rsidRPr="00BD2206">
        <w:t xml:space="preserve"> to bill and collect </w:t>
      </w:r>
      <w:r w:rsidR="00733F7B" w:rsidRPr="00BD2206">
        <w:t xml:space="preserve">system restoration </w:t>
      </w:r>
      <w:r w:rsidRPr="00BD2206">
        <w:t xml:space="preserve">charges from retail </w:t>
      </w:r>
      <w:r w:rsidR="00824E79" w:rsidRPr="00BD2206">
        <w:t>customers</w:t>
      </w:r>
      <w:r w:rsidRPr="00BD2206">
        <w:t xml:space="preserve">, but such REPs shall remain subject to these standards.  Upon adoption of any amendment to the rules governing REP standards as set out in </w:t>
      </w:r>
      <w:r w:rsidRPr="00BD2206">
        <w:rPr>
          <w:smallCaps/>
        </w:rPr>
        <w:t>P.U.C. Subst. R</w:t>
      </w:r>
      <w:r w:rsidRPr="00BD2206">
        <w:t xml:space="preserve">. 25.108, the Commission Staff shall initiate a proceeding to investigate the need to modify the standards adopted in this Financing Order to conform to that rule and to address whether each of the rating agencies that have rated the </w:t>
      </w:r>
      <w:r w:rsidR="00733F7B" w:rsidRPr="00BD2206">
        <w:t xml:space="preserve">system restoration </w:t>
      </w:r>
      <w:r w:rsidRPr="00BD2206">
        <w:t xml:space="preserve">bonds will determine that such modifications will not cause a suspension, withdrawal, or downgrade of the ratings on the </w:t>
      </w:r>
      <w:r w:rsidR="00733F7B" w:rsidRPr="00BD2206">
        <w:t xml:space="preserve">system restoration </w:t>
      </w:r>
      <w:r w:rsidRPr="00BD2206">
        <w:t xml:space="preserve">bonds.  Modifications to the REP standards adopted in this Financing Order may not be implemented absent prior written confirmation </w:t>
      </w:r>
      <w:r w:rsidR="004B10F4" w:rsidRPr="00BD2206">
        <w:t xml:space="preserve">(or deemed inapplicability of such confirmation requirement) </w:t>
      </w:r>
      <w:r w:rsidRPr="00BD2206">
        <w:t xml:space="preserve">from each of the rating agencies that have rated the </w:t>
      </w:r>
      <w:r w:rsidR="00733F7B" w:rsidRPr="00BD2206">
        <w:t xml:space="preserve">system restoration </w:t>
      </w:r>
      <w:r w:rsidRPr="00BD2206">
        <w:t xml:space="preserve">bonds that such modifications will not cause a suspension, withdrawal, or downgrade of the ratings on the </w:t>
      </w:r>
      <w:r w:rsidR="00733F7B" w:rsidRPr="00BD2206">
        <w:t xml:space="preserve">system restoration </w:t>
      </w:r>
      <w:r w:rsidRPr="00BD2206">
        <w:t xml:space="preserve">bonds.  The servicer of the </w:t>
      </w:r>
      <w:r w:rsidR="00733F7B" w:rsidRPr="00BD2206">
        <w:t xml:space="preserve">system restoration </w:t>
      </w:r>
      <w:r w:rsidRPr="00BD2206">
        <w:t>bonds shall also comply with the provisions of the REP standards adopted by this Financing Order that are applicable to the servicer.</w:t>
      </w:r>
    </w:p>
    <w:p w14:paraId="1E6F4E7B" w14:textId="77777777" w:rsidR="003631D6" w:rsidRPr="00BD2206" w:rsidRDefault="00E12B0D" w:rsidP="003631D6">
      <w:pPr>
        <w:pStyle w:val="OrderingNumbered"/>
      </w:pPr>
      <w:r w:rsidRPr="00BD2206">
        <w:rPr>
          <w:b/>
        </w:rPr>
        <w:t>S</w:t>
      </w:r>
      <w:r w:rsidR="00733F7B" w:rsidRPr="00BD2206">
        <w:rPr>
          <w:b/>
        </w:rPr>
        <w:t xml:space="preserve">ystem </w:t>
      </w:r>
      <w:r w:rsidRPr="00BD2206">
        <w:rPr>
          <w:b/>
        </w:rPr>
        <w:t>R</w:t>
      </w:r>
      <w:r w:rsidR="00733F7B" w:rsidRPr="00BD2206">
        <w:rPr>
          <w:b/>
        </w:rPr>
        <w:t>estoration</w:t>
      </w:r>
      <w:r w:rsidR="00733F7B" w:rsidRPr="00BD2206">
        <w:t xml:space="preserve"> </w:t>
      </w:r>
      <w:r w:rsidR="003631D6" w:rsidRPr="00BD2206">
        <w:rPr>
          <w:b/>
        </w:rPr>
        <w:t>Charge Remittance Procedures.</w:t>
      </w:r>
      <w:r w:rsidR="003631D6" w:rsidRPr="00BD2206">
        <w:t xml:space="preserve">  </w:t>
      </w:r>
      <w:r w:rsidRPr="00BD2206">
        <w:t xml:space="preserve">System restoration </w:t>
      </w:r>
      <w:r w:rsidR="003631D6" w:rsidRPr="00BD2206">
        <w:t xml:space="preserve">charges shall be billed and collected in accordance with the REP standards adopted by this Financing Order.  REPs shall be subject to penalties as provided in these standards.  A REP shall not be obligated to pay the overdue </w:t>
      </w:r>
      <w:r w:rsidRPr="00BD2206">
        <w:t xml:space="preserve">system restoration </w:t>
      </w:r>
      <w:r w:rsidR="003631D6" w:rsidRPr="00BD2206">
        <w:t>charges of another REP whose customers it agrees to serve.</w:t>
      </w:r>
    </w:p>
    <w:p w14:paraId="2F22929C" w14:textId="77777777" w:rsidR="003631D6" w:rsidRPr="00BD2206" w:rsidRDefault="003631D6" w:rsidP="003631D6">
      <w:pPr>
        <w:pStyle w:val="OrderingNumbered"/>
      </w:pPr>
      <w:r w:rsidRPr="00BD2206">
        <w:rPr>
          <w:b/>
        </w:rPr>
        <w:t>Remedies Upon REP Default.</w:t>
      </w:r>
      <w:r w:rsidRPr="00BD2206">
        <w:t xml:space="preserve">  A servicer of </w:t>
      </w:r>
      <w:r w:rsidR="00E12B0D" w:rsidRPr="00BD2206">
        <w:t xml:space="preserve">system restoration </w:t>
      </w:r>
      <w:r w:rsidRPr="00BD2206">
        <w:t xml:space="preserve">bonds shall have the remedies provided in the REP standards adopted by this Financing Order.  If a REP that is in default fails to immediately select and implement one of the options provided in the REP standards or, after making its selection, fails to adequately meet its responsibilities under the selected option, then, subject to the limitations and requirements of the bankruptcy code if the REP is a debtor in bankruptcy, the servicer shall immediately cause the POLR or a qualified REP to assume the responsibility for the billing and collection of </w:t>
      </w:r>
      <w:r w:rsidR="00E12B0D" w:rsidRPr="00BD2206">
        <w:t xml:space="preserve">system restoration </w:t>
      </w:r>
      <w:r w:rsidRPr="00BD2206">
        <w:t>charges in the manner and for the time provided in the REP standards.</w:t>
      </w:r>
    </w:p>
    <w:p w14:paraId="5C5F40EA" w14:textId="6CA35ECA" w:rsidR="003631D6" w:rsidRPr="00BD2206" w:rsidRDefault="003631D6" w:rsidP="003631D6">
      <w:pPr>
        <w:pStyle w:val="OrderingNumbered"/>
      </w:pPr>
      <w:r w:rsidRPr="00BD2206">
        <w:rPr>
          <w:b/>
        </w:rPr>
        <w:t>Billing by POLRs</w:t>
      </w:r>
      <w:r w:rsidRPr="00BD2206">
        <w:t xml:space="preserve">. Every POLR appointed by the Commission shall comply with the minimum credit rating or deposit/credit support requirements described in the REP standards in addition to any other standard that may be adopted by the Commission.  If the POLR defaults or is not eligible to provide billing and collection services, the servicer shall immediately assume responsibility for billing and collection of </w:t>
      </w:r>
      <w:r w:rsidR="00E12B0D" w:rsidRPr="00BD2206">
        <w:t xml:space="preserve">system restoration </w:t>
      </w:r>
      <w:r w:rsidRPr="00BD2206">
        <w:t xml:space="preserve">charges and continue to meet this obligation until a new POLR can be named by the Commission or the </w:t>
      </w:r>
      <w:r w:rsidR="004B10F4" w:rsidRPr="00BD2206">
        <w:t>customer</w:t>
      </w:r>
      <w:r w:rsidRPr="00BD2206">
        <w:t xml:space="preserve"> requests the services of a REP in good standing.  Retail </w:t>
      </w:r>
      <w:r w:rsidR="00824E79" w:rsidRPr="00BD2206">
        <w:t>customers</w:t>
      </w:r>
      <w:r w:rsidRPr="00BD2206">
        <w:t xml:space="preserve"> may never be directly re-billed by the successor REP, the POLR, or the servicer for any amount of </w:t>
      </w:r>
      <w:r w:rsidR="00E12B0D" w:rsidRPr="00BD2206">
        <w:t xml:space="preserve">system restoration </w:t>
      </w:r>
      <w:r w:rsidRPr="00BD2206">
        <w:t xml:space="preserve">charges the </w:t>
      </w:r>
      <w:r w:rsidR="00824E79" w:rsidRPr="00BD2206">
        <w:t xml:space="preserve">retail customers </w:t>
      </w:r>
      <w:r w:rsidRPr="00BD2206">
        <w:t>have previously paid to their REP.</w:t>
      </w:r>
    </w:p>
    <w:p w14:paraId="4D4A2D78" w14:textId="77777777" w:rsidR="003631D6" w:rsidRPr="00BD2206" w:rsidRDefault="003631D6" w:rsidP="003631D6">
      <w:pPr>
        <w:pStyle w:val="OrderingNumbered"/>
      </w:pPr>
      <w:r w:rsidRPr="00BD2206">
        <w:rPr>
          <w:b/>
        </w:rPr>
        <w:t>Disputes.</w:t>
      </w:r>
      <w:r w:rsidRPr="00BD2206">
        <w:t xml:space="preserve">  Disputes between a REP and a servicer regarding any amount of billed </w:t>
      </w:r>
      <w:r w:rsidR="00E12B0D" w:rsidRPr="00BD2206">
        <w:t xml:space="preserve">system restoration </w:t>
      </w:r>
      <w:r w:rsidRPr="00BD2206">
        <w:t>charges shall be resolved in the manner provided by the REP standards adopted by this Financing Order.</w:t>
      </w:r>
    </w:p>
    <w:p w14:paraId="31BF33FB" w14:textId="7EE59680" w:rsidR="003631D6" w:rsidRPr="00BD2206" w:rsidRDefault="003631D6" w:rsidP="003631D6">
      <w:pPr>
        <w:pStyle w:val="OrderingNumbered"/>
      </w:pPr>
      <w:r w:rsidRPr="00BD2206">
        <w:rPr>
          <w:b/>
        </w:rPr>
        <w:t>Metering Data.</w:t>
      </w:r>
      <w:r w:rsidRPr="00BD2206">
        <w:t xml:space="preserve"> If the servicer is providing metering services to a REP’s retail </w:t>
      </w:r>
      <w:r w:rsidR="00824E79" w:rsidRPr="00BD2206">
        <w:t>customers</w:t>
      </w:r>
      <w:r w:rsidRPr="00BD2206">
        <w:t>, then metering data shall be provided to the REP at the same time as the billing.  If the servicer is not providing metering services, the entity providing metering services shall comply with Commission rules and ensure that the servicer and the REP receive timely and accurate metering data in order for the servicer to meet its obligations under the servicing agreement and this Financing Order.</w:t>
      </w:r>
    </w:p>
    <w:p w14:paraId="0F39E06E" w14:textId="77777777" w:rsidR="003631D6" w:rsidRPr="00BD2206" w:rsidRDefault="003631D6" w:rsidP="003631D6">
      <w:pPr>
        <w:pStyle w:val="OrderingNumbered"/>
      </w:pPr>
      <w:r w:rsidRPr="00BD2206">
        <w:rPr>
          <w:b/>
        </w:rPr>
        <w:t>Charge-Off Allowance.</w:t>
      </w:r>
      <w:r w:rsidRPr="00BD2206">
        <w:t xml:space="preserve">  The REP may retain an allowance for charge-offs from its payments to the servicer as provided in the REP standards adopted by this Financing Order.</w:t>
      </w:r>
    </w:p>
    <w:p w14:paraId="3A6390F0" w14:textId="5AB9B047" w:rsidR="003631D6" w:rsidRPr="00BD2206" w:rsidRDefault="003631D6" w:rsidP="003631D6">
      <w:pPr>
        <w:pStyle w:val="OrderingNumbered"/>
      </w:pPr>
      <w:r w:rsidRPr="00BD2206">
        <w:rPr>
          <w:b/>
        </w:rPr>
        <w:t>Service Termination.</w:t>
      </w:r>
      <w:r w:rsidRPr="00BD2206">
        <w:t xml:space="preserve">  In the event that the servicer is billing </w:t>
      </w:r>
      <w:r w:rsidR="00824E79" w:rsidRPr="00BD2206">
        <w:t xml:space="preserve">retail customers </w:t>
      </w:r>
      <w:r w:rsidRPr="00BD2206">
        <w:t xml:space="preserve">for </w:t>
      </w:r>
      <w:r w:rsidR="00E12B0D" w:rsidRPr="00BD2206">
        <w:t xml:space="preserve">system restoration </w:t>
      </w:r>
      <w:r w:rsidRPr="00BD2206">
        <w:t xml:space="preserve">charges, the servicer shall have the right to terminate transmission and distribution service to the end-use </w:t>
      </w:r>
      <w:r w:rsidR="004B10F4" w:rsidRPr="00BD2206">
        <w:t>customer</w:t>
      </w:r>
      <w:r w:rsidRPr="00BD2206">
        <w:t xml:space="preserve"> for non-payment by the end-use </w:t>
      </w:r>
      <w:r w:rsidR="004B10F4" w:rsidRPr="00BD2206">
        <w:t>customer</w:t>
      </w:r>
      <w:r w:rsidRPr="00BD2206">
        <w:t xml:space="preserve"> pursuant to applicable Commission rules.  In the event that a REP or the POLR is billing </w:t>
      </w:r>
      <w:r w:rsidR="00824E79" w:rsidRPr="00BD2206">
        <w:t xml:space="preserve">retail customers </w:t>
      </w:r>
      <w:r w:rsidRPr="00BD2206">
        <w:t xml:space="preserve">for </w:t>
      </w:r>
      <w:r w:rsidR="00E12B0D" w:rsidRPr="00BD2206">
        <w:t xml:space="preserve">system restoration </w:t>
      </w:r>
      <w:r w:rsidRPr="00BD2206">
        <w:t xml:space="preserve">charges, the REP or POLR shall have the right to transfer the </w:t>
      </w:r>
      <w:r w:rsidR="004B10F4" w:rsidRPr="00BD2206">
        <w:t>customer</w:t>
      </w:r>
      <w:r w:rsidRPr="00BD2206">
        <w:t xml:space="preserve"> to the POLR or to another certified REP or to direct the servicer to terminate transmission and distribution service to the end-use </w:t>
      </w:r>
      <w:r w:rsidR="004B10F4" w:rsidRPr="00BD2206">
        <w:t>customer</w:t>
      </w:r>
      <w:r w:rsidRPr="00BD2206">
        <w:t xml:space="preserve"> for non-payment by the end-use </w:t>
      </w:r>
      <w:r w:rsidR="004B10F4" w:rsidRPr="00BD2206">
        <w:t>customer</w:t>
      </w:r>
      <w:r w:rsidRPr="00BD2206">
        <w:t xml:space="preserve"> to the extent permitted by and pursuant to terms and limitations of the applicable Commission rules.</w:t>
      </w:r>
    </w:p>
    <w:p w14:paraId="18BC0AC7" w14:textId="77777777" w:rsidR="003631D6" w:rsidRPr="00BD2206" w:rsidRDefault="005F1EE2" w:rsidP="003631D6">
      <w:pPr>
        <w:pStyle w:val="Heading2"/>
      </w:pPr>
      <w:bookmarkStart w:id="1241" w:name="_Toc88378204"/>
      <w:bookmarkStart w:id="1242" w:name="_Toc88379176"/>
      <w:bookmarkStart w:id="1243" w:name="_Toc88379398"/>
      <w:bookmarkStart w:id="1244" w:name="_Toc88379618"/>
      <w:bookmarkStart w:id="1245" w:name="_Toc88379836"/>
      <w:bookmarkStart w:id="1246" w:name="_Toc88380024"/>
      <w:bookmarkStart w:id="1247" w:name="_Toc88380202"/>
      <w:bookmarkStart w:id="1248" w:name="_Toc88380297"/>
      <w:bookmarkStart w:id="1249" w:name="_Toc88380459"/>
      <w:bookmarkStart w:id="1250" w:name="_Toc88380551"/>
      <w:bookmarkStart w:id="1251" w:name="_Toc88380643"/>
      <w:bookmarkStart w:id="1252" w:name="_Toc97535691"/>
      <w:bookmarkStart w:id="1253" w:name="_Toc158028425"/>
      <w:bookmarkStart w:id="1254" w:name="_Toc177539476"/>
      <w:r w:rsidRPr="00BD2206">
        <w:t xml:space="preserve">  </w:t>
      </w:r>
      <w:bookmarkStart w:id="1255" w:name="_Toc2778524"/>
      <w:r w:rsidR="003631D6" w:rsidRPr="00BD2206">
        <w:t>Structure of the Securitization</w:t>
      </w:r>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00F621A1" w14:textId="07FE8FBE" w:rsidR="003631D6" w:rsidRPr="00BD2206" w:rsidRDefault="003631D6" w:rsidP="003631D6">
      <w:pPr>
        <w:pStyle w:val="OrderingNumbered"/>
      </w:pPr>
      <w:r w:rsidRPr="00BD2206">
        <w:rPr>
          <w:b/>
        </w:rPr>
        <w:t xml:space="preserve">Structure. </w:t>
      </w:r>
      <w:r w:rsidRPr="00BD2206">
        <w:t xml:space="preserve"> </w:t>
      </w:r>
      <w:r w:rsidR="00DA6854" w:rsidRPr="00BD2206">
        <w:t>AEP Texas</w:t>
      </w:r>
      <w:r w:rsidRPr="00BD2206">
        <w:t xml:space="preserve"> shall structure the securitization as proposed in </w:t>
      </w:r>
      <w:r w:rsidR="00DA6854" w:rsidRPr="00BD2206">
        <w:t>AEP Texas</w:t>
      </w:r>
      <w:r w:rsidR="00122BE7" w:rsidRPr="00BD2206">
        <w:t>’</w:t>
      </w:r>
      <w:r w:rsidRPr="00BD2206">
        <w:t xml:space="preserve"> application.  This structure shall be consistent with Finding</w:t>
      </w:r>
      <w:r w:rsidR="000153C8" w:rsidRPr="00BD2206">
        <w:t>s</w:t>
      </w:r>
      <w:r w:rsidRPr="00BD2206">
        <w:t xml:space="preserve"> of Fact Nos. 9</w:t>
      </w:r>
      <w:r w:rsidR="00F60381" w:rsidRPr="00BD2206">
        <w:t>3</w:t>
      </w:r>
      <w:r w:rsidRPr="00BD2206">
        <w:t xml:space="preserve"> through 9</w:t>
      </w:r>
      <w:r w:rsidR="00F60381" w:rsidRPr="00BD2206">
        <w:t>6</w:t>
      </w:r>
      <w:r w:rsidRPr="00BD2206">
        <w:t>.</w:t>
      </w:r>
    </w:p>
    <w:p w14:paraId="7D74CCD7" w14:textId="77777777" w:rsidR="003631D6" w:rsidRPr="00BD2206" w:rsidRDefault="005F1EE2" w:rsidP="003631D6">
      <w:pPr>
        <w:pStyle w:val="Heading2"/>
      </w:pPr>
      <w:bookmarkStart w:id="1256" w:name="_Toc88378206"/>
      <w:bookmarkStart w:id="1257" w:name="_Toc88379178"/>
      <w:bookmarkStart w:id="1258" w:name="_Toc88379400"/>
      <w:bookmarkStart w:id="1259" w:name="_Toc88379620"/>
      <w:bookmarkStart w:id="1260" w:name="_Toc88379838"/>
      <w:bookmarkStart w:id="1261" w:name="_Toc88380026"/>
      <w:bookmarkStart w:id="1262" w:name="_Toc88380204"/>
      <w:bookmarkStart w:id="1263" w:name="_Toc88380298"/>
      <w:bookmarkStart w:id="1264" w:name="_Toc88380460"/>
      <w:bookmarkStart w:id="1265" w:name="_Toc88380552"/>
      <w:bookmarkStart w:id="1266" w:name="_Toc88380644"/>
      <w:bookmarkStart w:id="1267" w:name="_Toc97535692"/>
      <w:bookmarkStart w:id="1268" w:name="_Toc158028426"/>
      <w:bookmarkStart w:id="1269" w:name="_Toc177539477"/>
      <w:r w:rsidRPr="00BD2206">
        <w:t xml:space="preserve">  </w:t>
      </w:r>
      <w:bookmarkStart w:id="1270" w:name="_Toc2778525"/>
      <w:r w:rsidR="003631D6" w:rsidRPr="00BD2206">
        <w:t>Use of Proceeds</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04E34C85" w14:textId="3684C201" w:rsidR="003631D6" w:rsidRPr="00BD2206" w:rsidRDefault="003631D6" w:rsidP="003631D6">
      <w:pPr>
        <w:pStyle w:val="OrderingNumbered"/>
      </w:pPr>
      <w:r w:rsidRPr="00BD2206">
        <w:rPr>
          <w:b/>
        </w:rPr>
        <w:t>Use of Proceeds.</w:t>
      </w:r>
      <w:r w:rsidRPr="00BD2206">
        <w:t xml:space="preserve">  </w:t>
      </w:r>
      <w:r w:rsidR="00E12B0D" w:rsidRPr="00BD2206">
        <w:t xml:space="preserve">Upon the issuance of system restoration bonds, </w:t>
      </w:r>
      <w:proofErr w:type="spellStart"/>
      <w:r w:rsidR="00E12B0D" w:rsidRPr="00BD2206">
        <w:t>BondCo</w:t>
      </w:r>
      <w:proofErr w:type="spellEnd"/>
      <w:r w:rsidR="00E12B0D" w:rsidRPr="00BD2206">
        <w:t xml:space="preserve"> shall pay the net proceeds from the sale of the system restoration bonds (after payment of transaction costs) to AEP Texas for the purchase price of the transition property.  AEP Texas will apply these net proceeds to reduce recoverable system restoration costs</w:t>
      </w:r>
      <w:r w:rsidRPr="00BD2206">
        <w:t>.</w:t>
      </w:r>
      <w:r w:rsidR="00601A1C" w:rsidRPr="00BD2206">
        <w:t xml:space="preserve">  Thereafter, bond proceeds will be used to repay any outstanding short-term debt at AEP Texas and to fund capital expenditures to support utility operations and services.</w:t>
      </w:r>
    </w:p>
    <w:p w14:paraId="1EFB4570" w14:textId="77777777" w:rsidR="003631D6" w:rsidRPr="00BD2206" w:rsidRDefault="005F1EE2" w:rsidP="003631D6">
      <w:pPr>
        <w:pStyle w:val="Heading2"/>
      </w:pPr>
      <w:bookmarkStart w:id="1271" w:name="_Toc88378208"/>
      <w:bookmarkStart w:id="1272" w:name="_Toc88379180"/>
      <w:bookmarkStart w:id="1273" w:name="_Toc88379402"/>
      <w:bookmarkStart w:id="1274" w:name="_Toc88379622"/>
      <w:bookmarkStart w:id="1275" w:name="_Toc88379840"/>
      <w:bookmarkStart w:id="1276" w:name="_Toc88380028"/>
      <w:bookmarkStart w:id="1277" w:name="_Toc88380206"/>
      <w:bookmarkStart w:id="1278" w:name="_Toc88380299"/>
      <w:bookmarkStart w:id="1279" w:name="_Toc88380461"/>
      <w:bookmarkStart w:id="1280" w:name="_Toc88380553"/>
      <w:bookmarkStart w:id="1281" w:name="_Toc88380645"/>
      <w:bookmarkStart w:id="1282" w:name="_Toc97535693"/>
      <w:bookmarkStart w:id="1283" w:name="_Toc158028427"/>
      <w:bookmarkStart w:id="1284" w:name="_Toc177539478"/>
      <w:r w:rsidRPr="00BD2206">
        <w:t xml:space="preserve">  </w:t>
      </w:r>
      <w:bookmarkStart w:id="1285" w:name="_Toc2778526"/>
      <w:r w:rsidR="003631D6" w:rsidRPr="00BD2206">
        <w:t>Miscellaneous Provisions</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14:paraId="28A3993A" w14:textId="77777777" w:rsidR="003631D6" w:rsidRPr="00BD2206" w:rsidRDefault="003631D6" w:rsidP="003631D6">
      <w:pPr>
        <w:pStyle w:val="OrderingNumbered"/>
      </w:pPr>
      <w:r w:rsidRPr="00BD2206">
        <w:rPr>
          <w:b/>
        </w:rPr>
        <w:t>Continuing Issuance Right.</w:t>
      </w:r>
      <w:r w:rsidRPr="00BD2206">
        <w:t xml:space="preserve">  </w:t>
      </w:r>
      <w:r w:rsidR="00DA6854" w:rsidRPr="00BD2206">
        <w:t>AEP Texas</w:t>
      </w:r>
      <w:r w:rsidRPr="00BD2206">
        <w:t xml:space="preserve"> has the continuing irrevocable right to cause the issuance of </w:t>
      </w:r>
      <w:r w:rsidR="00E12B0D" w:rsidRPr="00BD2206">
        <w:t xml:space="preserve">system restoration </w:t>
      </w:r>
      <w:r w:rsidRPr="00BD2206">
        <w:t xml:space="preserve">bonds in one or more series in accordance with this Financing Order for a period commencing with the date of this Financing Order and extending 24 months following the later of (i) the date on which this Financing Order becomes final and no longer subject to any appeal; or (ii) the date on which any other regulatory approvals necessary to issue the </w:t>
      </w:r>
      <w:r w:rsidR="00E12B0D" w:rsidRPr="00BD2206">
        <w:t xml:space="preserve">system restoration </w:t>
      </w:r>
      <w:r w:rsidRPr="00BD2206">
        <w:t>bonds are obtained and no longer subject to any appeal.  If at any time during the effective period of this Financing Order there is a severe disruption in the financial markets of the United States, the effective period shall automatically be extended to a date which is not less than 90 days after the date such disruption ends.</w:t>
      </w:r>
    </w:p>
    <w:p w14:paraId="273A211C" w14:textId="77777777" w:rsidR="003631D6" w:rsidRPr="00BD2206" w:rsidRDefault="003631D6" w:rsidP="003631D6">
      <w:pPr>
        <w:pStyle w:val="OrderingNumbered"/>
      </w:pPr>
      <w:r w:rsidRPr="00BD2206">
        <w:rPr>
          <w:b/>
        </w:rPr>
        <w:t>Internal Revenue Service Private Letter or Other Rulings.</w:t>
      </w:r>
      <w:r w:rsidRPr="00BD2206">
        <w:t xml:space="preserve">  </w:t>
      </w:r>
      <w:r w:rsidR="00DA6854" w:rsidRPr="00BD2206">
        <w:t>AEP Texas</w:t>
      </w:r>
      <w:r w:rsidRPr="00BD2206">
        <w:t xml:space="preserve"> is not required by this Financing Order to obtain a ruling from the IRS; however, if it elects to do so, then upon receipt, </w:t>
      </w:r>
      <w:r w:rsidR="00DA6854" w:rsidRPr="00BD2206">
        <w:t>AEP Texas</w:t>
      </w:r>
      <w:r w:rsidRPr="00BD2206">
        <w:t xml:space="preserve"> shall promptly deliver to the Commission a copy of each private letter or other ruling issued by the IRS with respect to the proposed transaction, the </w:t>
      </w:r>
      <w:r w:rsidR="00E12B0D" w:rsidRPr="00BD2206">
        <w:t xml:space="preserve">system restoration </w:t>
      </w:r>
      <w:r w:rsidRPr="00BD2206">
        <w:t xml:space="preserve">bonds or any other matter related thereto.  </w:t>
      </w:r>
      <w:r w:rsidR="00DA6854" w:rsidRPr="00BD2206">
        <w:t>AEP Texas</w:t>
      </w:r>
      <w:r w:rsidRPr="00BD2206">
        <w:t xml:space="preserve"> shall also include a copy of every such ruling by the IRS it has received as an attachment to each issuance advice letter required to be filed by this Financing Order.  </w:t>
      </w:r>
      <w:r w:rsidR="00DA6854" w:rsidRPr="00BD2206">
        <w:t>AEP Texas</w:t>
      </w:r>
      <w:r w:rsidRPr="00BD2206">
        <w:t xml:space="preserve"> may cause </w:t>
      </w:r>
      <w:r w:rsidR="00E12B0D" w:rsidRPr="00BD2206">
        <w:t xml:space="preserve">system restoration </w:t>
      </w:r>
      <w:r w:rsidRPr="00BD2206">
        <w:t>bonds to be issued without a private letter ruling if it obtains an opinion of tax counsel sufficient to support the issuance of the bonds.</w:t>
      </w:r>
    </w:p>
    <w:p w14:paraId="7C14FD3E" w14:textId="3064AFBF" w:rsidR="003631D6" w:rsidRPr="00BD2206" w:rsidRDefault="003631D6" w:rsidP="003631D6">
      <w:pPr>
        <w:pStyle w:val="OrderingNumbered"/>
      </w:pPr>
      <w:r w:rsidRPr="00BD2206">
        <w:rPr>
          <w:b/>
        </w:rPr>
        <w:t>Binding on Successors.</w:t>
      </w:r>
      <w:r w:rsidRPr="00BD2206">
        <w:t xml:space="preserve">  This Financing Order, together with the </w:t>
      </w:r>
      <w:r w:rsidR="00E12B0D" w:rsidRPr="00BD2206">
        <w:t xml:space="preserve">system restoration </w:t>
      </w:r>
      <w:r w:rsidRPr="00BD2206">
        <w:t xml:space="preserve">charges authorized in it, shall be binding on </w:t>
      </w:r>
      <w:r w:rsidR="00DA6854" w:rsidRPr="00BD2206">
        <w:t>AEP Texas</w:t>
      </w:r>
      <w:r w:rsidRPr="00BD2206">
        <w:t xml:space="preserve"> and any successor to </w:t>
      </w:r>
      <w:r w:rsidR="00DA6854" w:rsidRPr="00BD2206">
        <w:t>AEP Texas</w:t>
      </w:r>
      <w:r w:rsidRPr="00BD2206">
        <w:t xml:space="preserve"> that provides transmission and distribution service directly to retail </w:t>
      </w:r>
      <w:r w:rsidR="00824E79" w:rsidRPr="00BD2206">
        <w:t>customers</w:t>
      </w:r>
      <w:r w:rsidRPr="00BD2206">
        <w:t xml:space="preserve"> in </w:t>
      </w:r>
      <w:r w:rsidR="00DA6854" w:rsidRPr="00BD2206">
        <w:t>AEP Texas</w:t>
      </w:r>
      <w:r w:rsidRPr="00BD2206">
        <w:t xml:space="preserve">’ certificated service area as </w:t>
      </w:r>
      <w:r w:rsidR="00A63BE1" w:rsidRPr="00BD2206">
        <w:t>it existed on the date of this Financing Order</w:t>
      </w:r>
      <w:r w:rsidRPr="00BD2206">
        <w:t xml:space="preserve">, any other entity that provides transmission or distribution services to retail </w:t>
      </w:r>
      <w:r w:rsidR="00824E79" w:rsidRPr="00BD2206">
        <w:t>customers</w:t>
      </w:r>
      <w:r w:rsidRPr="00BD2206">
        <w:t xml:space="preserve"> within that service area, and any successor to such other entity.  This Financing Order is also binding on each REP, and any successor, that sells electric energy to retail </w:t>
      </w:r>
      <w:r w:rsidR="00824E79" w:rsidRPr="00BD2206">
        <w:t>customers</w:t>
      </w:r>
      <w:r w:rsidRPr="00BD2206">
        <w:t xml:space="preserve"> located within that service area, any other entity responsible for billing and collecting </w:t>
      </w:r>
      <w:r w:rsidR="00E12B0D" w:rsidRPr="00BD2206">
        <w:t xml:space="preserve">system restoration </w:t>
      </w:r>
      <w:r w:rsidRPr="00BD2206">
        <w:t xml:space="preserve">charges on behalf of </w:t>
      </w:r>
      <w:proofErr w:type="spellStart"/>
      <w:r w:rsidRPr="00BD2206">
        <w:t>BondCo</w:t>
      </w:r>
      <w:proofErr w:type="spellEnd"/>
      <w:r w:rsidRPr="00BD2206">
        <w:t>, and any successor to the Commission.  In this paragraph, a “successor” means any entity that succeeds by any means whatsoever to any interest or obligation of its predecessor, including by way of bankruptcy, reorganization or other insolvency proceeding, merger, consolidation, conversion, assignment, pledge or other security, by operation of law or otherwise.</w:t>
      </w:r>
    </w:p>
    <w:p w14:paraId="4C443E11" w14:textId="77777777" w:rsidR="003631D6" w:rsidRPr="00BD2206" w:rsidRDefault="003631D6" w:rsidP="003631D6">
      <w:pPr>
        <w:pStyle w:val="OrderingNumbered"/>
      </w:pPr>
      <w:r w:rsidRPr="00BD2206">
        <w:rPr>
          <w:b/>
        </w:rPr>
        <w:t>Flexibility.</w:t>
      </w:r>
      <w:r w:rsidRPr="00BD2206">
        <w:t xml:space="preserve">  Subject to compliance with the requirements of this Financing Order, </w:t>
      </w:r>
      <w:r w:rsidR="00DA6854" w:rsidRPr="00BD2206">
        <w:t>AEP Texas</w:t>
      </w:r>
      <w:r w:rsidRPr="00BD2206">
        <w:t xml:space="preserve"> and </w:t>
      </w:r>
      <w:proofErr w:type="spellStart"/>
      <w:r w:rsidRPr="00BD2206">
        <w:t>BondCo</w:t>
      </w:r>
      <w:proofErr w:type="spellEnd"/>
      <w:r w:rsidRPr="00BD2206">
        <w:t xml:space="preserve"> shall be afforded flexibility in establishing the terms and conditions of the </w:t>
      </w:r>
      <w:r w:rsidR="00E12B0D" w:rsidRPr="00BD2206">
        <w:t xml:space="preserve">system restoration </w:t>
      </w:r>
      <w:r w:rsidRPr="00BD2206">
        <w:t xml:space="preserve">bonds, including the final structure of </w:t>
      </w:r>
      <w:proofErr w:type="spellStart"/>
      <w:r w:rsidRPr="00BD2206">
        <w:t>BondCo</w:t>
      </w:r>
      <w:proofErr w:type="spellEnd"/>
      <w:r w:rsidRPr="00BD2206">
        <w:t xml:space="preserve">, repayment schedules, term, payment dates, collateral, credit enhancement, required debt service, reserves, interest rates, use of original issue discount, and other financing costs and the ability of </w:t>
      </w:r>
      <w:r w:rsidR="00DA6854" w:rsidRPr="00BD2206">
        <w:t>AEP Texas</w:t>
      </w:r>
      <w:r w:rsidRPr="00BD2206">
        <w:t xml:space="preserve">, at its option, to cause one or more series of </w:t>
      </w:r>
      <w:r w:rsidR="00E12B0D" w:rsidRPr="00BD2206">
        <w:t xml:space="preserve">system restoration </w:t>
      </w:r>
      <w:r w:rsidRPr="00BD2206">
        <w:t>bonds to be issued.</w:t>
      </w:r>
    </w:p>
    <w:p w14:paraId="710DE678" w14:textId="77777777" w:rsidR="003631D6" w:rsidRPr="00BD2206" w:rsidRDefault="003631D6" w:rsidP="003631D6">
      <w:pPr>
        <w:pStyle w:val="OrderingNumbered"/>
      </w:pPr>
      <w:r w:rsidRPr="00BD2206">
        <w:rPr>
          <w:b/>
        </w:rPr>
        <w:t>Effectiveness of Order.</w:t>
      </w:r>
      <w:r w:rsidRPr="00BD2206">
        <w:t xml:space="preserve">  This Financing Order is effective upon issuance and is not subject to rehearing by the Commission.  Notwithstanding the foregoing, no transition property shall be created hereunder, and </w:t>
      </w:r>
      <w:r w:rsidR="00DA6854" w:rsidRPr="00BD2206">
        <w:t>AEP Texas</w:t>
      </w:r>
      <w:r w:rsidRPr="00BD2206">
        <w:t xml:space="preserve"> shall not be authorized to impose, collect, and receive </w:t>
      </w:r>
      <w:r w:rsidR="00125FB0" w:rsidRPr="00BD2206">
        <w:t xml:space="preserve">system restoration </w:t>
      </w:r>
      <w:r w:rsidRPr="00BD2206">
        <w:t xml:space="preserve">charges, until concurrently with the transfer of </w:t>
      </w:r>
      <w:r w:rsidR="00DA6854" w:rsidRPr="00BD2206">
        <w:t>AEP Texas</w:t>
      </w:r>
      <w:r w:rsidR="00122BE7" w:rsidRPr="00BD2206">
        <w:t>’</w:t>
      </w:r>
      <w:r w:rsidRPr="00BD2206">
        <w:t xml:space="preserve"> rights hereunder to </w:t>
      </w:r>
      <w:proofErr w:type="spellStart"/>
      <w:r w:rsidRPr="00BD2206">
        <w:t>BondCo</w:t>
      </w:r>
      <w:proofErr w:type="spellEnd"/>
      <w:r w:rsidRPr="00BD2206">
        <w:t xml:space="preserve"> in conjunction with the issuance of the </w:t>
      </w:r>
      <w:r w:rsidR="00125FB0" w:rsidRPr="00BD2206">
        <w:t xml:space="preserve">system restoration </w:t>
      </w:r>
      <w:r w:rsidRPr="00BD2206">
        <w:t>bonds.</w:t>
      </w:r>
    </w:p>
    <w:p w14:paraId="3D4F70B2" w14:textId="77777777" w:rsidR="003631D6" w:rsidRPr="00BD2206" w:rsidRDefault="003631D6" w:rsidP="003631D6">
      <w:pPr>
        <w:pStyle w:val="OrderingNumbered"/>
      </w:pPr>
      <w:r w:rsidRPr="00BD2206">
        <w:rPr>
          <w:b/>
        </w:rPr>
        <w:t>Regulatory Approvals.</w:t>
      </w:r>
      <w:r w:rsidRPr="00BD2206">
        <w:t xml:space="preserve">  All regulatory approvals within the jurisdiction of the Commission that are necessary for the securitization of the </w:t>
      </w:r>
      <w:r w:rsidR="00125FB0" w:rsidRPr="00BD2206">
        <w:t xml:space="preserve">system restoration </w:t>
      </w:r>
      <w:r w:rsidRPr="00BD2206">
        <w:t>charges associated with the costs that are the subject of the application, and all related transactions contemplated in the application, are granted.</w:t>
      </w:r>
    </w:p>
    <w:p w14:paraId="2BA3341B" w14:textId="77777777" w:rsidR="003631D6" w:rsidRPr="00BD2206" w:rsidRDefault="003631D6" w:rsidP="003631D6">
      <w:pPr>
        <w:pStyle w:val="OrderingNumbered"/>
      </w:pPr>
      <w:r w:rsidRPr="00BD2206">
        <w:rPr>
          <w:b/>
        </w:rPr>
        <w:t>Payment of Commission’s Costs for Professional Services.</w:t>
      </w:r>
      <w:r w:rsidRPr="00BD2206">
        <w:t xml:space="preserve"> In accordance with PURA </w:t>
      </w:r>
      <w:r w:rsidR="00125FB0" w:rsidRPr="00BD2206">
        <w:t xml:space="preserve">§§ 36.403(d)(1) and </w:t>
      </w:r>
      <w:r w:rsidRPr="00BD2206">
        <w:t xml:space="preserve">39.302(4), </w:t>
      </w:r>
      <w:r w:rsidR="00DA6854" w:rsidRPr="00BD2206">
        <w:t>AEP Texas</w:t>
      </w:r>
      <w:r w:rsidRPr="00BD2206">
        <w:t xml:space="preserve"> shall pay the costs to the Commission of acquiring professional services for the purpose of evaluating </w:t>
      </w:r>
      <w:r w:rsidR="00DA6854" w:rsidRPr="00BD2206">
        <w:t>AEP Texas</w:t>
      </w:r>
      <w:r w:rsidR="00122BE7" w:rsidRPr="00BD2206">
        <w:t>’</w:t>
      </w:r>
      <w:r w:rsidRPr="00BD2206">
        <w:t xml:space="preserve"> proposed transaction, including, but not limited to, the Commission’s outside attorneys’ fees in the amounts specified in this Financing Order no later than 30 days after the issuance of any </w:t>
      </w:r>
      <w:r w:rsidR="00125FB0" w:rsidRPr="00BD2206">
        <w:t xml:space="preserve">system restoration </w:t>
      </w:r>
      <w:r w:rsidRPr="00BD2206">
        <w:t>bonds.</w:t>
      </w:r>
    </w:p>
    <w:p w14:paraId="2F12C8AD" w14:textId="02539FEB" w:rsidR="00125FB0" w:rsidRPr="00BD2206" w:rsidRDefault="00125FB0" w:rsidP="003631D6">
      <w:pPr>
        <w:pStyle w:val="OrderingNumbered"/>
      </w:pPr>
      <w:r w:rsidRPr="00BD2206">
        <w:rPr>
          <w:b/>
        </w:rPr>
        <w:t>Compliance with PURA § 36.402(c).</w:t>
      </w:r>
      <w:r w:rsidRPr="00BD2206">
        <w:t xml:space="preserve">  If AEP Texas receives insurance proceeds, governmental grants, or any other source of funding not reflected in the </w:t>
      </w:r>
      <w:proofErr w:type="spellStart"/>
      <w:r w:rsidRPr="00BD2206">
        <w:t>Securitizable</w:t>
      </w:r>
      <w:proofErr w:type="spellEnd"/>
      <w:r w:rsidRPr="00BD2206">
        <w:t xml:space="preserve"> Balance to compensate it for system restoration costs or the Commission determines that the actual costs incurred are less than estimated costs, if any, included in the </w:t>
      </w:r>
      <w:proofErr w:type="spellStart"/>
      <w:r w:rsidRPr="00BD2206">
        <w:t>Securitizable</w:t>
      </w:r>
      <w:proofErr w:type="spellEnd"/>
      <w:r w:rsidRPr="00BD2206">
        <w:t xml:space="preserve"> Balance, the Commission will take such amounts into account as required by PURA § 36.402(c).  Such amounts shall accrue interest as provided in PURA § 36.402(d).  Any adjustment to reflect such amounts may not affect the stream of revenue available to service the system restoration bonds.  A REP shall be required to appropriately refund or credit to its customers any reduction in rates or any credits received from the utility under this </w:t>
      </w:r>
      <w:r w:rsidR="000153C8" w:rsidRPr="00BD2206">
        <w:t>paragraph</w:t>
      </w:r>
      <w:r w:rsidRPr="00BD2206">
        <w:t>.</w:t>
      </w:r>
    </w:p>
    <w:p w14:paraId="7EA958A7" w14:textId="6F6C15F2" w:rsidR="00125FB0" w:rsidRPr="00BD2206" w:rsidRDefault="00125FB0" w:rsidP="003631D6">
      <w:pPr>
        <w:pStyle w:val="OrderingNumbered"/>
      </w:pPr>
      <w:r w:rsidRPr="00BD2206">
        <w:rPr>
          <w:b/>
        </w:rPr>
        <w:t xml:space="preserve">Effect of Appeal of Docket No. 48577.  </w:t>
      </w:r>
      <w:r w:rsidRPr="00BD2206">
        <w:t xml:space="preserve">If the recoverable distribution-related system restoration costs approved in Docket No. 48577 is subject to judicial review at the time of issuance of the system restoration bonds, AEP Texas shall adjust its rates, other than system restoration charges, or provide credits, other than credits to system restoration charges, in a manner that will refund over the remaining life of the system restoration bonds any overpayments resulting from securitization of amounts in excess of the amount resulting from a final determination of the recoverable distribution-related system restoration costs.  The adjustment mechanism may not affect the stream of revenue available to service the system restoration bonds.  An adjustment may not be made under this paragraph until all appellate reviews, including, if applicable, appellate reviews following a Commission decision on remand of its original orders, have been completed.  A REP shall be required to appropriately refund or credit to its customers any reduction in rates or any credits received from the utility under this </w:t>
      </w:r>
      <w:r w:rsidR="000153C8" w:rsidRPr="00BD2206">
        <w:t>paragraph</w:t>
      </w:r>
      <w:r w:rsidR="007A62C2" w:rsidRPr="00BD2206">
        <w:t>.</w:t>
      </w:r>
    </w:p>
    <w:p w14:paraId="41BB0DA2" w14:textId="77777777" w:rsidR="003631D6" w:rsidRPr="00BD2206" w:rsidRDefault="003631D6" w:rsidP="003631D6">
      <w:pPr>
        <w:pStyle w:val="OrderingNumbered"/>
      </w:pPr>
      <w:r w:rsidRPr="00BD2206">
        <w:rPr>
          <w:b/>
        </w:rPr>
        <w:t>Effect.</w:t>
      </w:r>
      <w:r w:rsidRPr="00BD2206">
        <w:t xml:space="preserve">  This Financing Order constitutes a legal financing order for </w:t>
      </w:r>
      <w:r w:rsidR="00DA6854" w:rsidRPr="00BD2206">
        <w:t>AEP Texas</w:t>
      </w:r>
      <w:r w:rsidRPr="00BD2206">
        <w:t xml:space="preserve"> under </w:t>
      </w:r>
      <w:r w:rsidR="00125FB0" w:rsidRPr="00BD2206">
        <w:t xml:space="preserve">Subchapter I of Chapter 36 and </w:t>
      </w:r>
      <w:r w:rsidRPr="00BD2206">
        <w:t xml:space="preserve">Subchapter G of Chapter 39 of PURA.  The Commission finds this Financing Order complies with the provisions of </w:t>
      </w:r>
      <w:r w:rsidR="00125FB0" w:rsidRPr="00BD2206">
        <w:t xml:space="preserve">Subchapter I of Chapter 36 and </w:t>
      </w:r>
      <w:r w:rsidRPr="00BD2206">
        <w:t xml:space="preserve">Subchapter G of Chapter 39 of PURA.  A financing order gives rise to rights, interests, obligations and duties as expressed in </w:t>
      </w:r>
      <w:r w:rsidR="00125FB0" w:rsidRPr="00BD2206">
        <w:t xml:space="preserve">Subchapter I of Chapter 36 and </w:t>
      </w:r>
      <w:r w:rsidRPr="00BD2206">
        <w:t xml:space="preserve">Subchapter G of Chapter 39 of PURA.  It is the Commission’s express intent to give rise to those rights, interests, obligations and duties by issuing this Financing Order.  </w:t>
      </w:r>
      <w:r w:rsidR="00DA6854" w:rsidRPr="00BD2206">
        <w:t>AEP Texas</w:t>
      </w:r>
      <w:r w:rsidRPr="00BD2206">
        <w:t xml:space="preserve"> and the servicer are directed to take all actions as are required to effectuate the transactions approved in this Financing Order, subject to compliance with the criteria established in this Financing Order.</w:t>
      </w:r>
    </w:p>
    <w:p w14:paraId="4006C935" w14:textId="77777777" w:rsidR="003631D6" w:rsidRPr="00BD2206" w:rsidRDefault="003631D6" w:rsidP="003631D6">
      <w:pPr>
        <w:pStyle w:val="OrderingNumbered"/>
      </w:pPr>
      <w:r w:rsidRPr="00BD2206">
        <w:rPr>
          <w:b/>
        </w:rPr>
        <w:t>Further Commission Action.</w:t>
      </w:r>
      <w:r w:rsidRPr="00BD2206">
        <w:t xml:space="preserve">  The Commission guarantees that it will act pursuant to this Financing Order as expressly authorized by PURA to ensure that expected </w:t>
      </w:r>
      <w:r w:rsidR="00125FB0" w:rsidRPr="00BD2206">
        <w:t xml:space="preserve">system restoration </w:t>
      </w:r>
      <w:r w:rsidRPr="00BD2206">
        <w:t xml:space="preserve">charge revenues are sufficient to pay on a timely basis scheduled principal and interest on the </w:t>
      </w:r>
      <w:r w:rsidR="00125FB0" w:rsidRPr="00BD2206">
        <w:t xml:space="preserve">system restoration </w:t>
      </w:r>
      <w:r w:rsidRPr="00BD2206">
        <w:t xml:space="preserve">bonds issued pursuant to this Financing Order and other costs, including fees and expenses, in connection with the </w:t>
      </w:r>
      <w:r w:rsidR="00125FB0" w:rsidRPr="00BD2206">
        <w:t xml:space="preserve">system restoration </w:t>
      </w:r>
      <w:r w:rsidRPr="00BD2206">
        <w:t>bonds.</w:t>
      </w:r>
    </w:p>
    <w:p w14:paraId="5F61C96C" w14:textId="77777777" w:rsidR="003631D6" w:rsidRPr="00BD2206" w:rsidRDefault="003631D6" w:rsidP="003631D6">
      <w:pPr>
        <w:pStyle w:val="OrderingNumbered"/>
      </w:pPr>
      <w:r w:rsidRPr="00BD2206">
        <w:rPr>
          <w:b/>
        </w:rPr>
        <w:t>All Other Motions, etc., Denied.</w:t>
      </w:r>
      <w:r w:rsidRPr="00BD2206">
        <w:t xml:space="preserve">  All motions, requests for entry of specific findings of fact and conclusions of law, and any other requests for general or specific relief not expressly granted herein, are denied.</w:t>
      </w:r>
    </w:p>
    <w:p w14:paraId="457925E7" w14:textId="77777777" w:rsidR="003631D6" w:rsidRPr="00BD2206" w:rsidRDefault="003631D6" w:rsidP="003631D6">
      <w:pPr>
        <w:keepLines/>
        <w:spacing w:line="480" w:lineRule="auto"/>
        <w:rPr>
          <w:b/>
        </w:rPr>
      </w:pPr>
    </w:p>
    <w:p w14:paraId="53AFD773" w14:textId="77777777" w:rsidR="003631D6" w:rsidRPr="00BD2206" w:rsidRDefault="003631D6" w:rsidP="005F1EE2">
      <w:pPr>
        <w:pStyle w:val="BodyText"/>
        <w:keepLines/>
        <w:rPr>
          <w:b/>
        </w:rPr>
      </w:pPr>
      <w:r w:rsidRPr="00BD2206">
        <w:rPr>
          <w:b/>
        </w:rPr>
        <w:br w:type="page"/>
        <w:t xml:space="preserve">SIGNED AT AUSTIN, TEXAS </w:t>
      </w:r>
      <w:r w:rsidR="005F1EE2" w:rsidRPr="00BD2206">
        <w:rPr>
          <w:b/>
        </w:rPr>
        <w:t xml:space="preserve">on the _______day of </w:t>
      </w:r>
      <w:r w:rsidR="00125FB0" w:rsidRPr="00BD2206">
        <w:rPr>
          <w:b/>
        </w:rPr>
        <w:t>_________</w:t>
      </w:r>
      <w:r w:rsidRPr="00BD2206">
        <w:rPr>
          <w:b/>
        </w:rPr>
        <w:t>, 201</w:t>
      </w:r>
      <w:r w:rsidR="00125FB0" w:rsidRPr="00BD2206">
        <w:rPr>
          <w:b/>
        </w:rPr>
        <w:t>9</w:t>
      </w:r>
      <w:r w:rsidR="005F1EE2" w:rsidRPr="00BD2206">
        <w:rPr>
          <w:b/>
        </w:rPr>
        <w:t>.</w:t>
      </w:r>
    </w:p>
    <w:p w14:paraId="1BE92A06" w14:textId="77777777" w:rsidR="003631D6" w:rsidRPr="00BD2206" w:rsidRDefault="003631D6" w:rsidP="003631D6">
      <w:pPr>
        <w:pStyle w:val="BodyText"/>
        <w:keepLines/>
        <w:ind w:firstLine="0"/>
        <w:rPr>
          <w:b/>
        </w:rPr>
      </w:pPr>
    </w:p>
    <w:p w14:paraId="5AFDFA73" w14:textId="77777777" w:rsidR="003631D6" w:rsidRPr="00BD2206" w:rsidRDefault="003631D6" w:rsidP="003631D6">
      <w:pPr>
        <w:pStyle w:val="BodyText"/>
        <w:keepLines/>
        <w:ind w:left="2880" w:firstLine="0"/>
        <w:rPr>
          <w:b/>
          <w:szCs w:val="24"/>
        </w:rPr>
      </w:pPr>
      <w:r w:rsidRPr="00BD2206">
        <w:rPr>
          <w:b/>
        </w:rPr>
        <w:t>PUBLIC UTILITY COMMISSION OF TEXAS</w:t>
      </w:r>
    </w:p>
    <w:p w14:paraId="5C7DF88C" w14:textId="77777777" w:rsidR="003631D6" w:rsidRPr="00BD2206" w:rsidRDefault="003631D6" w:rsidP="003631D6">
      <w:pPr>
        <w:keepLines/>
        <w:tabs>
          <w:tab w:val="left" w:pos="2880"/>
          <w:tab w:val="left" w:pos="8640"/>
        </w:tabs>
        <w:rPr>
          <w:b/>
          <w:szCs w:val="24"/>
        </w:rPr>
      </w:pPr>
    </w:p>
    <w:p w14:paraId="67B50CD7" w14:textId="77777777" w:rsidR="003631D6" w:rsidRPr="00BD2206" w:rsidRDefault="003631D6" w:rsidP="003631D6">
      <w:pPr>
        <w:keepLines/>
        <w:tabs>
          <w:tab w:val="left" w:pos="2880"/>
          <w:tab w:val="left" w:pos="8640"/>
        </w:tabs>
        <w:rPr>
          <w:b/>
          <w:szCs w:val="24"/>
        </w:rPr>
      </w:pPr>
    </w:p>
    <w:p w14:paraId="27BA8938" w14:textId="77777777" w:rsidR="003631D6" w:rsidRPr="00BD2206" w:rsidRDefault="003631D6" w:rsidP="003631D6">
      <w:pPr>
        <w:keepLines/>
        <w:tabs>
          <w:tab w:val="left" w:pos="2880"/>
          <w:tab w:val="left" w:pos="8640"/>
        </w:tabs>
        <w:rPr>
          <w:b/>
          <w:szCs w:val="24"/>
        </w:rPr>
      </w:pPr>
      <w:r w:rsidRPr="00BD2206">
        <w:rPr>
          <w:b/>
          <w:szCs w:val="24"/>
        </w:rPr>
        <w:tab/>
      </w:r>
      <w:r w:rsidRPr="00BD2206">
        <w:rPr>
          <w:b/>
          <w:szCs w:val="24"/>
          <w:u w:val="single"/>
        </w:rPr>
        <w:tab/>
      </w:r>
    </w:p>
    <w:p w14:paraId="3A2EFF83" w14:textId="77777777" w:rsidR="003631D6" w:rsidRPr="00BD2206" w:rsidRDefault="003631D6" w:rsidP="003631D6">
      <w:pPr>
        <w:keepLines/>
        <w:tabs>
          <w:tab w:val="left" w:pos="2880"/>
          <w:tab w:val="left" w:pos="8640"/>
        </w:tabs>
        <w:rPr>
          <w:b/>
          <w:szCs w:val="24"/>
        </w:rPr>
      </w:pPr>
      <w:r w:rsidRPr="00BD2206">
        <w:rPr>
          <w:b/>
          <w:szCs w:val="24"/>
        </w:rPr>
        <w:tab/>
      </w:r>
      <w:r w:rsidR="00275A14" w:rsidRPr="00BD2206">
        <w:rPr>
          <w:rFonts w:ascii="Times New Roman Bold" w:hAnsi="Times New Roman Bold"/>
          <w:b/>
          <w:caps/>
          <w:szCs w:val="24"/>
        </w:rPr>
        <w:t>Deann T. Walker</w:t>
      </w:r>
      <w:r w:rsidRPr="00BD2206">
        <w:rPr>
          <w:b/>
          <w:szCs w:val="24"/>
        </w:rPr>
        <w:t xml:space="preserve">, CHAIRMAN </w:t>
      </w:r>
    </w:p>
    <w:p w14:paraId="380D1A15" w14:textId="77777777" w:rsidR="003631D6" w:rsidRPr="00BD2206" w:rsidRDefault="003631D6" w:rsidP="003631D6">
      <w:pPr>
        <w:keepLines/>
        <w:tabs>
          <w:tab w:val="left" w:pos="2880"/>
          <w:tab w:val="left" w:pos="8640"/>
        </w:tabs>
        <w:rPr>
          <w:b/>
          <w:szCs w:val="24"/>
        </w:rPr>
      </w:pPr>
    </w:p>
    <w:p w14:paraId="69AE7B22" w14:textId="77777777" w:rsidR="003631D6" w:rsidRPr="00BD2206" w:rsidRDefault="003631D6" w:rsidP="003631D6">
      <w:pPr>
        <w:keepLines/>
        <w:tabs>
          <w:tab w:val="left" w:pos="3600"/>
        </w:tabs>
        <w:rPr>
          <w:szCs w:val="24"/>
        </w:rPr>
      </w:pPr>
    </w:p>
    <w:p w14:paraId="65B6A995" w14:textId="77777777" w:rsidR="003631D6" w:rsidRPr="00BD2206" w:rsidRDefault="003631D6" w:rsidP="003631D6">
      <w:pPr>
        <w:keepLines/>
        <w:tabs>
          <w:tab w:val="left" w:pos="3600"/>
        </w:tabs>
        <w:rPr>
          <w:szCs w:val="24"/>
        </w:rPr>
      </w:pPr>
    </w:p>
    <w:p w14:paraId="2B9497FD" w14:textId="77777777" w:rsidR="003631D6" w:rsidRPr="00BD2206" w:rsidRDefault="003631D6" w:rsidP="003631D6">
      <w:pPr>
        <w:keepLines/>
        <w:tabs>
          <w:tab w:val="left" w:pos="2880"/>
          <w:tab w:val="left" w:pos="8640"/>
        </w:tabs>
        <w:rPr>
          <w:b/>
          <w:szCs w:val="24"/>
        </w:rPr>
      </w:pPr>
      <w:r w:rsidRPr="00BD2206">
        <w:rPr>
          <w:b/>
          <w:szCs w:val="24"/>
        </w:rPr>
        <w:tab/>
      </w:r>
      <w:r w:rsidRPr="00BD2206">
        <w:rPr>
          <w:b/>
          <w:szCs w:val="24"/>
          <w:u w:val="single"/>
        </w:rPr>
        <w:tab/>
      </w:r>
    </w:p>
    <w:p w14:paraId="7E979D19" w14:textId="77777777" w:rsidR="003631D6" w:rsidRPr="00BD2206" w:rsidRDefault="003631D6" w:rsidP="003631D6">
      <w:pPr>
        <w:keepLines/>
        <w:tabs>
          <w:tab w:val="left" w:pos="2880"/>
          <w:tab w:val="left" w:pos="8640"/>
        </w:tabs>
        <w:rPr>
          <w:b/>
          <w:szCs w:val="24"/>
        </w:rPr>
      </w:pPr>
      <w:r w:rsidRPr="00BD2206">
        <w:rPr>
          <w:b/>
          <w:szCs w:val="24"/>
        </w:rPr>
        <w:tab/>
      </w:r>
      <w:r w:rsidR="00275A14" w:rsidRPr="00BD2206">
        <w:rPr>
          <w:rFonts w:ascii="Times New Roman Bold" w:hAnsi="Times New Roman Bold"/>
          <w:b/>
          <w:caps/>
          <w:szCs w:val="24"/>
        </w:rPr>
        <w:t>Arthur C. D’Andrea</w:t>
      </w:r>
      <w:r w:rsidRPr="00BD2206">
        <w:rPr>
          <w:b/>
          <w:szCs w:val="24"/>
        </w:rPr>
        <w:t>, COMMISSIONER</w:t>
      </w:r>
    </w:p>
    <w:p w14:paraId="1972C045" w14:textId="77777777" w:rsidR="003631D6" w:rsidRPr="00BD2206" w:rsidRDefault="003631D6" w:rsidP="003631D6">
      <w:pPr>
        <w:keepLines/>
        <w:tabs>
          <w:tab w:val="left" w:pos="2880"/>
          <w:tab w:val="left" w:pos="8640"/>
        </w:tabs>
        <w:rPr>
          <w:b/>
          <w:szCs w:val="24"/>
        </w:rPr>
      </w:pPr>
    </w:p>
    <w:p w14:paraId="6246D807" w14:textId="77777777" w:rsidR="003631D6" w:rsidRPr="00BD2206" w:rsidRDefault="003631D6" w:rsidP="003631D6">
      <w:pPr>
        <w:keepLines/>
        <w:tabs>
          <w:tab w:val="left" w:pos="2880"/>
          <w:tab w:val="left" w:pos="8640"/>
        </w:tabs>
        <w:rPr>
          <w:b/>
          <w:szCs w:val="24"/>
        </w:rPr>
      </w:pPr>
    </w:p>
    <w:p w14:paraId="52DA70E3" w14:textId="77777777" w:rsidR="003631D6" w:rsidRPr="00BD2206" w:rsidRDefault="003631D6" w:rsidP="003631D6">
      <w:pPr>
        <w:keepLines/>
        <w:tabs>
          <w:tab w:val="left" w:pos="2880"/>
          <w:tab w:val="left" w:pos="8640"/>
        </w:tabs>
        <w:rPr>
          <w:b/>
          <w:szCs w:val="24"/>
        </w:rPr>
      </w:pPr>
    </w:p>
    <w:p w14:paraId="2129A755" w14:textId="77777777" w:rsidR="003631D6" w:rsidRPr="00BD2206" w:rsidRDefault="003631D6" w:rsidP="003631D6">
      <w:pPr>
        <w:keepLines/>
        <w:tabs>
          <w:tab w:val="left" w:pos="2880"/>
          <w:tab w:val="left" w:pos="8640"/>
        </w:tabs>
        <w:rPr>
          <w:b/>
          <w:szCs w:val="24"/>
        </w:rPr>
      </w:pPr>
      <w:r w:rsidRPr="00BD2206">
        <w:rPr>
          <w:b/>
          <w:szCs w:val="24"/>
        </w:rPr>
        <w:tab/>
      </w:r>
      <w:r w:rsidRPr="00BD2206">
        <w:rPr>
          <w:b/>
          <w:szCs w:val="24"/>
          <w:u w:val="single"/>
        </w:rPr>
        <w:t>________________________________________________</w:t>
      </w:r>
    </w:p>
    <w:p w14:paraId="56052CD0" w14:textId="77777777" w:rsidR="003631D6" w:rsidRDefault="003631D6" w:rsidP="003631D6">
      <w:pPr>
        <w:keepLines/>
        <w:tabs>
          <w:tab w:val="left" w:pos="2880"/>
          <w:tab w:val="left" w:pos="8640"/>
        </w:tabs>
        <w:rPr>
          <w:b/>
          <w:szCs w:val="24"/>
        </w:rPr>
      </w:pPr>
      <w:r w:rsidRPr="00BD2206">
        <w:rPr>
          <w:b/>
          <w:szCs w:val="24"/>
        </w:rPr>
        <w:tab/>
      </w:r>
      <w:r w:rsidR="00275A14" w:rsidRPr="00BD2206">
        <w:rPr>
          <w:rFonts w:ascii="Times New Roman Bold" w:hAnsi="Times New Roman Bold"/>
          <w:b/>
          <w:caps/>
          <w:szCs w:val="24"/>
        </w:rPr>
        <w:t>Shelly Botkin</w:t>
      </w:r>
      <w:r w:rsidRPr="00BD2206">
        <w:rPr>
          <w:b/>
          <w:szCs w:val="24"/>
        </w:rPr>
        <w:t>, COMMISSIONER</w:t>
      </w:r>
    </w:p>
    <w:p w14:paraId="1F95059A" w14:textId="77777777" w:rsidR="003631D6" w:rsidRDefault="003631D6" w:rsidP="003631D6">
      <w:pPr>
        <w:keepLines/>
        <w:tabs>
          <w:tab w:val="left" w:pos="2880"/>
          <w:tab w:val="left" w:pos="8640"/>
        </w:tabs>
        <w:rPr>
          <w:b/>
          <w:szCs w:val="24"/>
        </w:rPr>
      </w:pPr>
      <w:bookmarkStart w:id="1286" w:name="Lastpage"/>
      <w:bookmarkEnd w:id="1286"/>
    </w:p>
    <w:p w14:paraId="330496D9" w14:textId="77777777" w:rsidR="003631D6" w:rsidRDefault="003631D6" w:rsidP="003631D6">
      <w:pPr>
        <w:keepLines/>
        <w:tabs>
          <w:tab w:val="left" w:pos="2880"/>
          <w:tab w:val="left" w:pos="8640"/>
        </w:tabs>
        <w:rPr>
          <w:b/>
          <w:szCs w:val="24"/>
        </w:rPr>
      </w:pPr>
    </w:p>
    <w:p w14:paraId="521BDB9F" w14:textId="77777777" w:rsidR="003631D6" w:rsidRDefault="003631D6" w:rsidP="003631D6">
      <w:pPr>
        <w:keepLines/>
        <w:tabs>
          <w:tab w:val="left" w:pos="2880"/>
          <w:tab w:val="left" w:pos="8640"/>
        </w:tabs>
        <w:rPr>
          <w:b/>
          <w:szCs w:val="24"/>
        </w:rPr>
      </w:pPr>
    </w:p>
    <w:p w14:paraId="11C545F8" w14:textId="77777777" w:rsidR="00941BDD" w:rsidRDefault="00941BDD" w:rsidP="003631D6">
      <w:pPr>
        <w:keepLines/>
        <w:tabs>
          <w:tab w:val="left" w:pos="2880"/>
          <w:tab w:val="left" w:pos="8640"/>
        </w:tabs>
        <w:rPr>
          <w:b/>
          <w:szCs w:val="24"/>
        </w:rPr>
      </w:pPr>
    </w:p>
    <w:p w14:paraId="581A0173" w14:textId="77777777" w:rsidR="00941BDD" w:rsidRDefault="00941BDD" w:rsidP="003631D6">
      <w:pPr>
        <w:keepLines/>
        <w:tabs>
          <w:tab w:val="left" w:pos="2880"/>
          <w:tab w:val="left" w:pos="8640"/>
        </w:tabs>
        <w:rPr>
          <w:b/>
          <w:szCs w:val="24"/>
        </w:rPr>
      </w:pPr>
    </w:p>
    <w:p w14:paraId="78B6881E" w14:textId="77777777" w:rsidR="00941BDD" w:rsidRDefault="00941BDD" w:rsidP="003631D6">
      <w:pPr>
        <w:keepLines/>
        <w:tabs>
          <w:tab w:val="left" w:pos="2880"/>
          <w:tab w:val="left" w:pos="8640"/>
        </w:tabs>
        <w:rPr>
          <w:b/>
          <w:szCs w:val="24"/>
        </w:rPr>
      </w:pPr>
      <w:bookmarkStart w:id="1287" w:name="_GoBack"/>
      <w:bookmarkEnd w:id="1287"/>
    </w:p>
    <w:sectPr w:rsidR="00941BDD" w:rsidSect="005B35DB">
      <w:headerReference w:type="default" r:id="rId17"/>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C06E08" w14:textId="77777777" w:rsidR="002A2684" w:rsidRDefault="002A2684">
      <w:r>
        <w:separator/>
      </w:r>
    </w:p>
  </w:endnote>
  <w:endnote w:type="continuationSeparator" w:id="0">
    <w:p w14:paraId="453275B8" w14:textId="77777777" w:rsidR="002A2684" w:rsidRDefault="002A2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W1)">
    <w:altName w:val="Times New Roman"/>
    <w:charset w:val="00"/>
    <w:family w:val="roman"/>
    <w:pitch w:val="variable"/>
    <w:sig w:usb0="00000003" w:usb1="80000000" w:usb2="00000008" w:usb3="00000000" w:csb0="000001FF" w:csb1="00000000"/>
  </w:font>
  <w:font w:name="Times New Roman Bold">
    <w:altName w:val="Times New Roman"/>
    <w:panose1 w:val="02020803070505020304"/>
    <w:charset w:val="00"/>
    <w:family w:val="auto"/>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BCE0A" w14:textId="77777777" w:rsidR="005338FC" w:rsidRDefault="005338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A829CE" w14:textId="77777777" w:rsidR="005338FC" w:rsidRDefault="005338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C398D" w14:textId="77777777" w:rsidR="005338FC" w:rsidRDefault="005338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4C28C5" w14:textId="77777777" w:rsidR="002A2684" w:rsidRDefault="002A2684">
      <w:r>
        <w:separator/>
      </w:r>
    </w:p>
  </w:footnote>
  <w:footnote w:type="continuationSeparator" w:id="0">
    <w:p w14:paraId="738F1FB3" w14:textId="77777777" w:rsidR="002A2684" w:rsidRDefault="002A2684">
      <w:r>
        <w:continuationSeparator/>
      </w:r>
    </w:p>
  </w:footnote>
  <w:footnote w:id="1">
    <w:p w14:paraId="478A5A9D" w14:textId="77777777" w:rsidR="00BD2206" w:rsidRPr="008D6279" w:rsidRDefault="00BD2206" w:rsidP="00300702">
      <w:pPr>
        <w:pStyle w:val="FootnoteText"/>
        <w:rPr>
          <w:color w:val="000000" w:themeColor="text1"/>
        </w:rPr>
      </w:pPr>
      <w:r w:rsidRPr="008D6279">
        <w:rPr>
          <w:rStyle w:val="FootnoteReference"/>
          <w:color w:val="000000" w:themeColor="text1"/>
        </w:rPr>
        <w:footnoteRef/>
      </w:r>
      <w:r w:rsidRPr="008D6279">
        <w:rPr>
          <w:color w:val="000000" w:themeColor="text1"/>
        </w:rPr>
        <w:t xml:space="preserve"> </w:t>
      </w:r>
      <w:r w:rsidRPr="008D6279">
        <w:rPr>
          <w:smallCaps/>
          <w:color w:val="000000" w:themeColor="text1"/>
        </w:rPr>
        <w:t>Tex. Util. Code</w:t>
      </w:r>
      <w:r w:rsidRPr="008D6279">
        <w:rPr>
          <w:color w:val="000000" w:themeColor="text1"/>
        </w:rPr>
        <w:t xml:space="preserve"> A</w:t>
      </w:r>
      <w:r w:rsidRPr="008D6279">
        <w:rPr>
          <w:smallCaps/>
          <w:color w:val="000000" w:themeColor="text1"/>
        </w:rPr>
        <w:t>nn</w:t>
      </w:r>
      <w:r w:rsidRPr="008D6279">
        <w:rPr>
          <w:color w:val="000000" w:themeColor="text1"/>
        </w:rPr>
        <w:t>. §§ 36.401-.406.</w:t>
      </w:r>
    </w:p>
  </w:footnote>
  <w:footnote w:id="2">
    <w:p w14:paraId="19F45368" w14:textId="578F7D67" w:rsidR="00BD2206" w:rsidRDefault="00BD2206">
      <w:pPr>
        <w:pStyle w:val="FootnoteText"/>
      </w:pPr>
      <w:r>
        <w:rPr>
          <w:rStyle w:val="FootnoteReference"/>
        </w:rPr>
        <w:footnoteRef/>
      </w:r>
      <w:r>
        <w:t xml:space="preserve"> </w:t>
      </w:r>
      <w:r w:rsidRPr="008D6279">
        <w:rPr>
          <w:smallCaps/>
          <w:color w:val="000000" w:themeColor="text1"/>
        </w:rPr>
        <w:t>Tex. Util. Code</w:t>
      </w:r>
      <w:r w:rsidRPr="008D6279">
        <w:rPr>
          <w:color w:val="000000" w:themeColor="text1"/>
        </w:rPr>
        <w:t xml:space="preserve"> A</w:t>
      </w:r>
      <w:r w:rsidRPr="008D6279">
        <w:rPr>
          <w:smallCaps/>
          <w:color w:val="000000" w:themeColor="text1"/>
        </w:rPr>
        <w:t>nn</w:t>
      </w:r>
      <w:r w:rsidRPr="008D6279">
        <w:rPr>
          <w:color w:val="000000" w:themeColor="text1"/>
        </w:rPr>
        <w:t>. §§ </w:t>
      </w:r>
      <w:r>
        <w:rPr>
          <w:color w:val="000000" w:themeColor="text1"/>
        </w:rPr>
        <w:t>39.301-.313.</w:t>
      </w:r>
    </w:p>
  </w:footnote>
  <w:footnote w:id="3">
    <w:p w14:paraId="21C32442" w14:textId="77777777" w:rsidR="00BD2206" w:rsidRPr="008D6279" w:rsidRDefault="00BD2206" w:rsidP="005F1EE2">
      <w:pPr>
        <w:spacing w:before="120"/>
        <w:ind w:firstLine="720"/>
        <w:jc w:val="both"/>
        <w:rPr>
          <w:color w:val="000000" w:themeColor="text1"/>
          <w:sz w:val="20"/>
        </w:rPr>
      </w:pPr>
      <w:r w:rsidRPr="008D6279">
        <w:rPr>
          <w:rStyle w:val="FootnoteReference"/>
          <w:color w:val="000000" w:themeColor="text1"/>
          <w:sz w:val="20"/>
        </w:rPr>
        <w:footnoteRef/>
      </w:r>
      <w:r w:rsidRPr="008D6279">
        <w:rPr>
          <w:color w:val="000000" w:themeColor="text1"/>
          <w:sz w:val="20"/>
        </w:rPr>
        <w:t xml:space="preserve">  Public Utility Regulatory Act, </w:t>
      </w:r>
      <w:r w:rsidRPr="008D6279">
        <w:rPr>
          <w:smallCaps/>
          <w:color w:val="000000" w:themeColor="text1"/>
          <w:sz w:val="20"/>
        </w:rPr>
        <w:t>Tex. Util. Code Ann</w:t>
      </w:r>
      <w:r w:rsidRPr="008D6279">
        <w:rPr>
          <w:color w:val="000000" w:themeColor="text1"/>
          <w:sz w:val="20"/>
        </w:rPr>
        <w:t>. §§ 11.001-58.302 (West 2016 &amp; Supp. 2018), §§ 59.001-66.016 (West 2007 &amp; Supp. 2018).</w:t>
      </w:r>
    </w:p>
  </w:footnote>
  <w:footnote w:id="4">
    <w:p w14:paraId="0184091F" w14:textId="19FECCA1" w:rsidR="00BD2206" w:rsidRPr="008D6279" w:rsidRDefault="00BD2206" w:rsidP="006D334C">
      <w:pPr>
        <w:pStyle w:val="FootnoteText"/>
        <w:rPr>
          <w:color w:val="000000" w:themeColor="text1"/>
        </w:rPr>
      </w:pPr>
      <w:bookmarkStart w:id="50" w:name="_cp_text_4_95"/>
      <w:r w:rsidRPr="008D6279">
        <w:rPr>
          <w:rStyle w:val="FootnoteReference"/>
          <w:color w:val="000000" w:themeColor="text1"/>
          <w:u w:color="008000"/>
        </w:rPr>
        <w:footnoteRef/>
      </w:r>
      <w:r w:rsidRPr="008D6279">
        <w:rPr>
          <w:color w:val="000000" w:themeColor="text1"/>
          <w:u w:color="008000"/>
        </w:rPr>
        <w:t xml:space="preserve"> </w:t>
      </w:r>
      <w:r w:rsidRPr="008D6279">
        <w:rPr>
          <w:i/>
          <w:color w:val="000000" w:themeColor="text1"/>
          <w:u w:color="008000"/>
        </w:rPr>
        <w:t>Application of AEP Texas Inc. for Determination of System Restoration Costs</w:t>
      </w:r>
      <w:r w:rsidRPr="008D6279">
        <w:rPr>
          <w:color w:val="000000" w:themeColor="text1"/>
          <w:u w:color="008000"/>
        </w:rPr>
        <w:t>, Docket No. 48577 (</w:t>
      </w:r>
      <w:bookmarkStart w:id="51" w:name="_cp_text_1_96"/>
      <w:bookmarkEnd w:id="50"/>
      <w:r>
        <w:rPr>
          <w:color w:val="000000" w:themeColor="text1"/>
          <w:u w:color="008000"/>
        </w:rPr>
        <w:t>Feb 28, 2019</w:t>
      </w:r>
    </w:p>
    <w:bookmarkEnd w:id="51"/>
    <w:p w14:paraId="415EAADA" w14:textId="77777777" w:rsidR="00BD2206" w:rsidRPr="008D6279" w:rsidRDefault="00BD2206" w:rsidP="006D334C">
      <w:pPr>
        <w:pStyle w:val="FootnoteText"/>
        <w:rPr>
          <w:color w:val="000000" w:themeColor="text1"/>
        </w:rPr>
      </w:pPr>
    </w:p>
  </w:footnote>
  <w:footnote w:id="5">
    <w:p w14:paraId="41DDB562" w14:textId="77777777" w:rsidR="00BD2206" w:rsidRPr="008D6279" w:rsidRDefault="00BD2206" w:rsidP="00782555">
      <w:pPr>
        <w:pStyle w:val="FootnoteText"/>
        <w:rPr>
          <w:color w:val="000000" w:themeColor="text1"/>
        </w:rPr>
      </w:pPr>
      <w:r w:rsidRPr="008D6279">
        <w:rPr>
          <w:rStyle w:val="FootnoteReference"/>
          <w:color w:val="000000" w:themeColor="text1"/>
        </w:rPr>
        <w:footnoteRef/>
      </w:r>
      <w:r w:rsidRPr="008D6279">
        <w:rPr>
          <w:color w:val="000000" w:themeColor="text1"/>
        </w:rPr>
        <w:t xml:space="preserve"> PURA § 39.303(a).</w:t>
      </w:r>
    </w:p>
  </w:footnote>
  <w:footnote w:id="6">
    <w:p w14:paraId="71844904" w14:textId="77777777" w:rsidR="00BD2206" w:rsidRPr="008D6279" w:rsidRDefault="00BD2206" w:rsidP="00782555">
      <w:pPr>
        <w:pStyle w:val="FootnoteText"/>
        <w:rPr>
          <w:color w:val="000000" w:themeColor="text1"/>
        </w:rPr>
      </w:pPr>
      <w:r w:rsidRPr="008D6279">
        <w:rPr>
          <w:rStyle w:val="FootnoteReference"/>
          <w:color w:val="000000" w:themeColor="text1"/>
        </w:rPr>
        <w:footnoteRef/>
      </w:r>
      <w:r w:rsidRPr="008D6279">
        <w:rPr>
          <w:color w:val="000000" w:themeColor="text1"/>
        </w:rPr>
        <w:t xml:space="preserve"> </w:t>
      </w:r>
      <w:r w:rsidRPr="008D6279">
        <w:rPr>
          <w:i/>
          <w:color w:val="000000" w:themeColor="text1"/>
        </w:rPr>
        <w:t>Id.</w:t>
      </w:r>
      <w:r w:rsidRPr="008D6279">
        <w:rPr>
          <w:color w:val="000000" w:themeColor="text1"/>
        </w:rPr>
        <w:t xml:space="preserve"> §§ 39.301, 36.401(b)(2).</w:t>
      </w:r>
    </w:p>
  </w:footnote>
  <w:footnote w:id="7">
    <w:p w14:paraId="7AF2052D" w14:textId="77777777" w:rsidR="00BD2206" w:rsidRPr="008D6279" w:rsidRDefault="00BD2206" w:rsidP="00782555">
      <w:pPr>
        <w:pStyle w:val="FootnoteText"/>
        <w:rPr>
          <w:color w:val="000000" w:themeColor="text1"/>
        </w:rPr>
      </w:pPr>
      <w:r w:rsidRPr="008D6279">
        <w:rPr>
          <w:rStyle w:val="FootnoteReference"/>
          <w:color w:val="000000" w:themeColor="text1"/>
        </w:rPr>
        <w:footnoteRef/>
      </w:r>
      <w:r w:rsidRPr="008D6279">
        <w:rPr>
          <w:color w:val="000000" w:themeColor="text1"/>
        </w:rPr>
        <w:t xml:space="preserve"> </w:t>
      </w:r>
      <w:r w:rsidRPr="008D6279">
        <w:rPr>
          <w:i/>
          <w:color w:val="000000" w:themeColor="text1"/>
        </w:rPr>
        <w:t>Id.</w:t>
      </w:r>
      <w:r w:rsidRPr="008D6279">
        <w:rPr>
          <w:color w:val="000000" w:themeColor="text1"/>
        </w:rPr>
        <w:t xml:space="preserve"> § 39.301.</w:t>
      </w:r>
    </w:p>
  </w:footnote>
  <w:footnote w:id="8">
    <w:p w14:paraId="31BD90C0" w14:textId="79F9268A" w:rsidR="00BD2206" w:rsidRPr="008D6279" w:rsidRDefault="00BD2206" w:rsidP="003631D6">
      <w:pPr>
        <w:pStyle w:val="FootnoteText"/>
        <w:rPr>
          <w:color w:val="000000" w:themeColor="text1"/>
        </w:rPr>
      </w:pPr>
      <w:r w:rsidRPr="008D6279">
        <w:rPr>
          <w:rStyle w:val="FootnoteReference"/>
          <w:color w:val="000000" w:themeColor="text1"/>
        </w:rPr>
        <w:footnoteRef/>
      </w:r>
      <w:r w:rsidRPr="008D6279">
        <w:rPr>
          <w:i/>
          <w:color w:val="000000" w:themeColor="text1"/>
        </w:rPr>
        <w:t xml:space="preserve">  See</w:t>
      </w:r>
      <w:r w:rsidRPr="008D6279">
        <w:rPr>
          <w:color w:val="000000" w:themeColor="text1"/>
        </w:rPr>
        <w:t xml:space="preserve"> Direct Testimony of Randall W. Hamlett at </w:t>
      </w:r>
      <w:r>
        <w:rPr>
          <w:color w:val="000000" w:themeColor="text1"/>
        </w:rPr>
        <w:t>12</w:t>
      </w:r>
      <w:r w:rsidRPr="008D6279">
        <w:rPr>
          <w:color w:val="000000" w:themeColor="text1"/>
        </w:rPr>
        <w:t>.</w:t>
      </w:r>
    </w:p>
  </w:footnote>
  <w:footnote w:id="9">
    <w:p w14:paraId="5066E3E6" w14:textId="77777777" w:rsidR="00BD2206" w:rsidRPr="008D6279" w:rsidRDefault="00BD2206" w:rsidP="00B6474D">
      <w:pPr>
        <w:pStyle w:val="FootnoteText"/>
        <w:rPr>
          <w:color w:val="000000" w:themeColor="text1"/>
        </w:rPr>
      </w:pPr>
      <w:r w:rsidRPr="008D6279">
        <w:rPr>
          <w:rStyle w:val="FootnoteReference"/>
          <w:color w:val="000000" w:themeColor="text1"/>
        </w:rPr>
        <w:footnoteRef/>
      </w:r>
      <w:r w:rsidRPr="008D6279">
        <w:rPr>
          <w:color w:val="000000" w:themeColor="text1"/>
        </w:rPr>
        <w:t xml:space="preserve"> PURA § 36.401(a).</w:t>
      </w:r>
    </w:p>
  </w:footnote>
  <w:footnote w:id="10">
    <w:p w14:paraId="1641D9B4" w14:textId="77777777" w:rsidR="00BD2206" w:rsidRPr="008D6279" w:rsidRDefault="00BD2206" w:rsidP="00B6474D">
      <w:pPr>
        <w:pStyle w:val="FootnoteText"/>
        <w:rPr>
          <w:color w:val="000000" w:themeColor="text1"/>
        </w:rPr>
      </w:pPr>
      <w:r w:rsidRPr="008D6279">
        <w:rPr>
          <w:rStyle w:val="FootnoteReference"/>
          <w:color w:val="000000" w:themeColor="text1"/>
        </w:rPr>
        <w:footnoteRef/>
      </w:r>
      <w:r w:rsidRPr="008D6279">
        <w:rPr>
          <w:color w:val="000000" w:themeColor="text1"/>
        </w:rPr>
        <w:t xml:space="preserve"> </w:t>
      </w:r>
      <w:r w:rsidRPr="008D6279">
        <w:rPr>
          <w:i/>
          <w:color w:val="000000" w:themeColor="text1"/>
        </w:rPr>
        <w:t>Id.</w:t>
      </w:r>
    </w:p>
  </w:footnote>
  <w:footnote w:id="11">
    <w:p w14:paraId="77499E7C" w14:textId="77777777" w:rsidR="00BD2206" w:rsidRPr="008D6279" w:rsidRDefault="00BD2206" w:rsidP="00B6474D">
      <w:pPr>
        <w:pStyle w:val="FootnoteText"/>
        <w:rPr>
          <w:color w:val="000000" w:themeColor="text1"/>
        </w:rPr>
      </w:pPr>
      <w:r w:rsidRPr="008D6279">
        <w:rPr>
          <w:rStyle w:val="FootnoteReference"/>
          <w:color w:val="000000" w:themeColor="text1"/>
        </w:rPr>
        <w:footnoteRef/>
      </w:r>
      <w:r w:rsidRPr="008D6279">
        <w:rPr>
          <w:color w:val="000000" w:themeColor="text1"/>
        </w:rPr>
        <w:t xml:space="preserve"> </w:t>
      </w:r>
      <w:r w:rsidRPr="008D6279">
        <w:rPr>
          <w:i/>
          <w:color w:val="000000" w:themeColor="text1"/>
        </w:rPr>
        <w:t xml:space="preserve">Id. </w:t>
      </w:r>
      <w:r w:rsidRPr="008D6279">
        <w:rPr>
          <w:color w:val="000000" w:themeColor="text1"/>
        </w:rPr>
        <w:t>§ 36.401(b)(2).</w:t>
      </w:r>
    </w:p>
  </w:footnote>
  <w:footnote w:id="12">
    <w:p w14:paraId="5E5201EB" w14:textId="7AFCDA65" w:rsidR="00BD2206" w:rsidRPr="008D6279" w:rsidRDefault="00BD2206" w:rsidP="00B6474D">
      <w:pPr>
        <w:pStyle w:val="FootnoteText"/>
        <w:rPr>
          <w:color w:val="000000" w:themeColor="text1"/>
        </w:rPr>
      </w:pPr>
      <w:r w:rsidRPr="008D6279">
        <w:rPr>
          <w:rStyle w:val="FootnoteReference"/>
          <w:color w:val="000000" w:themeColor="text1"/>
        </w:rPr>
        <w:footnoteRef/>
      </w:r>
      <w:r w:rsidRPr="008D6279">
        <w:rPr>
          <w:color w:val="000000" w:themeColor="text1"/>
        </w:rPr>
        <w:t xml:space="preserve"> </w:t>
      </w:r>
      <w:r w:rsidRPr="008D6279">
        <w:rPr>
          <w:i/>
          <w:color w:val="000000" w:themeColor="text1"/>
        </w:rPr>
        <w:t>See, e.g.</w:t>
      </w:r>
      <w:r w:rsidR="00160493" w:rsidRPr="008D6279">
        <w:rPr>
          <w:i/>
          <w:color w:val="000000" w:themeColor="text1"/>
        </w:rPr>
        <w:t>, Application</w:t>
      </w:r>
      <w:r w:rsidRPr="008D6279">
        <w:rPr>
          <w:i/>
          <w:color w:val="000000" w:themeColor="text1"/>
        </w:rPr>
        <w:t xml:space="preserve"> of CenterPoint Energy Houston Electric, LLC for Financing Order</w:t>
      </w:r>
      <w:r w:rsidRPr="008D6279">
        <w:rPr>
          <w:color w:val="000000" w:themeColor="text1"/>
        </w:rPr>
        <w:t xml:space="preserve">, Docket No. 30485, Financing Order (Mar. 16, 2005); </w:t>
      </w:r>
      <w:r w:rsidRPr="008D6279">
        <w:rPr>
          <w:i/>
          <w:color w:val="000000" w:themeColor="text1"/>
        </w:rPr>
        <w:t>Application of AEP Texas Central Company for a Financing Order</w:t>
      </w:r>
      <w:r w:rsidRPr="008D6279">
        <w:rPr>
          <w:color w:val="000000" w:themeColor="text1"/>
        </w:rPr>
        <w:t xml:space="preserve">, Docket No. 32475, Financing Order (June 21, 2006); </w:t>
      </w:r>
      <w:r w:rsidRPr="008D6279">
        <w:rPr>
          <w:i/>
          <w:color w:val="000000" w:themeColor="text1"/>
        </w:rPr>
        <w:t>Application of CenterPoint Energy Houston Electric, LLC for Financing Order</w:t>
      </w:r>
      <w:r w:rsidRPr="008D6279">
        <w:rPr>
          <w:color w:val="000000" w:themeColor="text1"/>
        </w:rPr>
        <w:t xml:space="preserve">, Docket No. 34448, Financing Order (Sept. 18, 2007).  </w:t>
      </w:r>
    </w:p>
  </w:footnote>
  <w:footnote w:id="13">
    <w:p w14:paraId="17FC7C8D" w14:textId="77777777" w:rsidR="00BD2206" w:rsidRPr="008D6279" w:rsidRDefault="00BD2206" w:rsidP="009B4FE3">
      <w:pPr>
        <w:pStyle w:val="FootnoteText"/>
        <w:rPr>
          <w:color w:val="000000" w:themeColor="text1"/>
        </w:rPr>
      </w:pPr>
      <w:bookmarkStart w:id="128" w:name="_cp_text_4_190"/>
      <w:r w:rsidRPr="008D6279">
        <w:rPr>
          <w:rStyle w:val="FootnoteReference"/>
          <w:color w:val="000000" w:themeColor="text1"/>
          <w:u w:color="008000"/>
        </w:rPr>
        <w:footnoteRef/>
      </w:r>
      <w:r w:rsidRPr="008D6279">
        <w:rPr>
          <w:color w:val="000000" w:themeColor="text1"/>
          <w:u w:color="008000"/>
        </w:rPr>
        <w:t xml:space="preserve"> PURA § 36.403(d).</w:t>
      </w:r>
      <w:bookmarkEnd w:id="128"/>
    </w:p>
  </w:footnote>
  <w:footnote w:id="14">
    <w:p w14:paraId="4C42E8F1" w14:textId="7784BB84" w:rsidR="00BD2206" w:rsidRPr="008D6279" w:rsidRDefault="00BD2206" w:rsidP="009B4FE3">
      <w:pPr>
        <w:pStyle w:val="FootnoteText"/>
        <w:rPr>
          <w:color w:val="000000" w:themeColor="text1"/>
        </w:rPr>
      </w:pPr>
      <w:bookmarkStart w:id="131" w:name="_cp_text_1_193"/>
      <w:r w:rsidRPr="008D6279">
        <w:rPr>
          <w:rStyle w:val="FootnoteReference"/>
          <w:color w:val="000000" w:themeColor="text1"/>
          <w:u w:color="0000FF"/>
        </w:rPr>
        <w:footnoteRef/>
      </w:r>
      <w:r w:rsidRPr="008D6279">
        <w:rPr>
          <w:color w:val="000000" w:themeColor="text1"/>
          <w:u w:color="0000FF"/>
        </w:rPr>
        <w:t xml:space="preserve"> PURA § 36.403(</w:t>
      </w:r>
      <w:r>
        <w:rPr>
          <w:color w:val="000000" w:themeColor="text1"/>
          <w:u w:color="0000FF"/>
        </w:rPr>
        <w:t>e</w:t>
      </w:r>
      <w:r w:rsidRPr="008D6279">
        <w:rPr>
          <w:color w:val="000000" w:themeColor="text1"/>
          <w:u w:color="0000FF"/>
        </w:rPr>
        <w:t>).</w:t>
      </w:r>
      <w:bookmarkEnd w:id="131"/>
    </w:p>
  </w:footnote>
  <w:footnote w:id="15">
    <w:p w14:paraId="3DEF3679" w14:textId="77777777" w:rsidR="00BD2206" w:rsidRPr="008D6279" w:rsidRDefault="00BD2206" w:rsidP="009B4FE3">
      <w:pPr>
        <w:pStyle w:val="FootnoteText"/>
        <w:rPr>
          <w:color w:val="000000" w:themeColor="text1"/>
        </w:rPr>
      </w:pPr>
      <w:bookmarkStart w:id="134" w:name="_cp_text_1_196"/>
      <w:r w:rsidRPr="008D6279">
        <w:rPr>
          <w:rStyle w:val="FootnoteReference"/>
          <w:color w:val="000000" w:themeColor="text1"/>
          <w:u w:color="0000FF"/>
        </w:rPr>
        <w:footnoteRef/>
      </w:r>
      <w:r w:rsidRPr="008D6279">
        <w:rPr>
          <w:color w:val="000000" w:themeColor="text1"/>
          <w:u w:color="0000FF"/>
        </w:rPr>
        <w:t xml:space="preserve"> PURA § 36.403(f).</w:t>
      </w:r>
      <w:bookmarkEnd w:id="134"/>
    </w:p>
  </w:footnote>
  <w:footnote w:id="16">
    <w:p w14:paraId="1D09A064" w14:textId="77777777" w:rsidR="00BD2206" w:rsidRPr="008D6279" w:rsidRDefault="00BD2206" w:rsidP="009B4FE3">
      <w:pPr>
        <w:pStyle w:val="FootnoteText"/>
        <w:rPr>
          <w:color w:val="000000" w:themeColor="text1"/>
        </w:rPr>
      </w:pPr>
      <w:bookmarkStart w:id="140" w:name="_cp_text_1_203"/>
      <w:r w:rsidRPr="008D6279">
        <w:rPr>
          <w:rStyle w:val="FootnoteReference"/>
          <w:color w:val="000000" w:themeColor="text1"/>
          <w:u w:color="0000FF"/>
        </w:rPr>
        <w:footnoteRef/>
      </w:r>
      <w:r w:rsidRPr="008D6279">
        <w:rPr>
          <w:color w:val="000000" w:themeColor="text1"/>
          <w:u w:color="0000FF"/>
        </w:rPr>
        <w:t xml:space="preserve"> PURA § 36.403(b).</w:t>
      </w:r>
      <w:bookmarkEnd w:id="140"/>
    </w:p>
  </w:footnote>
  <w:footnote w:id="17">
    <w:p w14:paraId="7963A1C3" w14:textId="77777777" w:rsidR="00BD2206" w:rsidRPr="008D6279" w:rsidRDefault="00BD2206" w:rsidP="009B4FE3">
      <w:pPr>
        <w:pStyle w:val="FootnoteText"/>
        <w:rPr>
          <w:color w:val="000000" w:themeColor="text1"/>
        </w:rPr>
      </w:pPr>
      <w:bookmarkStart w:id="143" w:name="_cp_text_1_217"/>
      <w:r w:rsidRPr="008D6279">
        <w:rPr>
          <w:rStyle w:val="FootnoteReference"/>
          <w:color w:val="000000" w:themeColor="text1"/>
          <w:u w:color="0000FF"/>
        </w:rPr>
        <w:footnoteRef/>
      </w:r>
      <w:r w:rsidRPr="008D6279">
        <w:rPr>
          <w:i/>
          <w:color w:val="000000" w:themeColor="text1"/>
        </w:rPr>
        <w:t xml:space="preserve">  </w:t>
      </w:r>
      <w:bookmarkStart w:id="144" w:name="_cp_text_4_218"/>
      <w:bookmarkEnd w:id="143"/>
      <w:r w:rsidRPr="008D6279">
        <w:rPr>
          <w:i/>
          <w:color w:val="000000" w:themeColor="text1"/>
          <w:u w:color="008000"/>
        </w:rPr>
        <w:t xml:space="preserve">See id. </w:t>
      </w:r>
      <w:r w:rsidRPr="008D6279">
        <w:rPr>
          <w:color w:val="000000" w:themeColor="text1"/>
          <w:u w:color="008000"/>
        </w:rPr>
        <w:t>§ 39.302(6)</w:t>
      </w:r>
      <w:bookmarkStart w:id="145" w:name="_cp_text_1_219"/>
      <w:bookmarkEnd w:id="144"/>
      <w:r w:rsidRPr="008D6279">
        <w:rPr>
          <w:color w:val="000000" w:themeColor="text1"/>
          <w:u w:color="0000FF"/>
        </w:rPr>
        <w:t>; 39.304.</w:t>
      </w:r>
      <w:r w:rsidRPr="008D6279">
        <w:rPr>
          <w:color w:val="000000" w:themeColor="text1"/>
        </w:rPr>
        <w:t xml:space="preserve"> </w:t>
      </w:r>
      <w:bookmarkEnd w:id="145"/>
    </w:p>
  </w:footnote>
  <w:footnote w:id="18">
    <w:p w14:paraId="755905E5" w14:textId="77777777" w:rsidR="00BD2206" w:rsidRPr="008D6279" w:rsidRDefault="00BD2206">
      <w:pPr>
        <w:pStyle w:val="FootnoteText"/>
        <w:rPr>
          <w:color w:val="000000" w:themeColor="text1"/>
        </w:rPr>
      </w:pPr>
      <w:r w:rsidRPr="008D6279">
        <w:rPr>
          <w:rStyle w:val="FootnoteReference"/>
          <w:color w:val="000000" w:themeColor="text1"/>
        </w:rPr>
        <w:footnoteRef/>
      </w:r>
      <w:r w:rsidRPr="008D6279">
        <w:rPr>
          <w:color w:val="000000" w:themeColor="text1"/>
        </w:rPr>
        <w:t xml:space="preserve">  </w:t>
      </w:r>
      <w:r w:rsidRPr="008D6279">
        <w:rPr>
          <w:i/>
          <w:color w:val="000000" w:themeColor="text1"/>
        </w:rPr>
        <w:t>See</w:t>
      </w:r>
      <w:r w:rsidRPr="008D6279">
        <w:rPr>
          <w:color w:val="000000" w:themeColor="text1"/>
        </w:rPr>
        <w:t xml:space="preserve"> </w:t>
      </w:r>
      <w:r w:rsidRPr="008D6279">
        <w:rPr>
          <w:i/>
          <w:color w:val="000000" w:themeColor="text1"/>
        </w:rPr>
        <w:t>id.</w:t>
      </w:r>
      <w:r w:rsidRPr="008D6279">
        <w:rPr>
          <w:color w:val="000000" w:themeColor="text1"/>
        </w:rPr>
        <w:t xml:space="preserve"> § 36.401(a).</w:t>
      </w:r>
    </w:p>
  </w:footnote>
  <w:footnote w:id="19">
    <w:p w14:paraId="73440DDC" w14:textId="77777777" w:rsidR="00BD2206" w:rsidRPr="008D6279" w:rsidRDefault="00BD2206">
      <w:pPr>
        <w:pStyle w:val="FootnoteText"/>
        <w:rPr>
          <w:color w:val="000000" w:themeColor="text1"/>
        </w:rPr>
      </w:pPr>
      <w:r w:rsidRPr="008D6279">
        <w:rPr>
          <w:rStyle w:val="FootnoteReference"/>
          <w:color w:val="000000" w:themeColor="text1"/>
        </w:rPr>
        <w:footnoteRef/>
      </w:r>
      <w:r w:rsidRPr="008D6279">
        <w:rPr>
          <w:color w:val="000000" w:themeColor="text1"/>
        </w:rPr>
        <w:t xml:space="preserve"> </w:t>
      </w:r>
      <w:r w:rsidRPr="008D6279">
        <w:rPr>
          <w:i/>
          <w:color w:val="000000" w:themeColor="text1"/>
        </w:rPr>
        <w:t>See</w:t>
      </w:r>
      <w:r w:rsidRPr="008D6279">
        <w:rPr>
          <w:color w:val="000000" w:themeColor="text1"/>
        </w:rPr>
        <w:t xml:space="preserve"> </w:t>
      </w:r>
      <w:r w:rsidRPr="008D6279">
        <w:rPr>
          <w:i/>
          <w:color w:val="000000" w:themeColor="text1"/>
        </w:rPr>
        <w:t>id.</w:t>
      </w:r>
      <w:r w:rsidRPr="008D6279">
        <w:rPr>
          <w:color w:val="000000" w:themeColor="text1"/>
        </w:rPr>
        <w:t xml:space="preserve"> § 36.403(f).</w:t>
      </w:r>
    </w:p>
  </w:footnote>
  <w:footnote w:id="20">
    <w:p w14:paraId="14D4B1E0" w14:textId="77777777" w:rsidR="00BD2206" w:rsidRPr="008D6279" w:rsidRDefault="00BD2206">
      <w:pPr>
        <w:pStyle w:val="FootnoteText"/>
        <w:rPr>
          <w:color w:val="000000" w:themeColor="text1"/>
        </w:rPr>
      </w:pPr>
      <w:r w:rsidRPr="008D6279">
        <w:rPr>
          <w:rStyle w:val="FootnoteReference"/>
          <w:color w:val="000000" w:themeColor="text1"/>
        </w:rPr>
        <w:footnoteRef/>
      </w:r>
      <w:r w:rsidRPr="008D6279">
        <w:rPr>
          <w:color w:val="000000" w:themeColor="text1"/>
        </w:rPr>
        <w:t xml:space="preserve"> </w:t>
      </w:r>
      <w:r w:rsidRPr="008D6279">
        <w:rPr>
          <w:i/>
          <w:color w:val="000000" w:themeColor="text1"/>
        </w:rPr>
        <w:t>Id.</w:t>
      </w:r>
    </w:p>
  </w:footnote>
  <w:footnote w:id="21">
    <w:p w14:paraId="3EB8A914" w14:textId="77777777" w:rsidR="00BD2206" w:rsidRPr="008D6279" w:rsidRDefault="00BD2206" w:rsidP="003631D6">
      <w:pPr>
        <w:pStyle w:val="FootnoteText"/>
        <w:rPr>
          <w:color w:val="000000" w:themeColor="text1"/>
        </w:rPr>
      </w:pPr>
      <w:r w:rsidRPr="008D6279">
        <w:rPr>
          <w:rStyle w:val="FootnoteReference"/>
          <w:color w:val="000000" w:themeColor="text1"/>
        </w:rPr>
        <w:footnoteRef/>
      </w:r>
      <w:r w:rsidRPr="008D6279">
        <w:rPr>
          <w:i/>
          <w:color w:val="000000" w:themeColor="text1"/>
        </w:rPr>
        <w:t xml:space="preserve">  See id. </w:t>
      </w:r>
      <w:r w:rsidRPr="008D6279">
        <w:rPr>
          <w:color w:val="000000" w:themeColor="text1"/>
        </w:rPr>
        <w:t xml:space="preserve"> § 39.302(7). </w:t>
      </w:r>
    </w:p>
  </w:footnote>
  <w:footnote w:id="22">
    <w:p w14:paraId="4D3B41C7" w14:textId="77777777" w:rsidR="00BD2206" w:rsidRPr="008D6279" w:rsidRDefault="00BD2206" w:rsidP="006F13D7">
      <w:pPr>
        <w:pStyle w:val="FootnoteText"/>
        <w:rPr>
          <w:color w:val="000000" w:themeColor="text1"/>
        </w:rPr>
      </w:pPr>
      <w:r w:rsidRPr="008D6279">
        <w:rPr>
          <w:rStyle w:val="FootnoteReference"/>
          <w:color w:val="000000" w:themeColor="text1"/>
        </w:rPr>
        <w:footnoteRef/>
      </w:r>
      <w:r w:rsidRPr="008D6279">
        <w:rPr>
          <w:color w:val="000000" w:themeColor="text1"/>
        </w:rPr>
        <w:t xml:space="preserve"> </w:t>
      </w:r>
      <w:r w:rsidRPr="008D6279">
        <w:rPr>
          <w:i/>
          <w:color w:val="000000" w:themeColor="text1"/>
        </w:rPr>
        <w:t>Id.</w:t>
      </w:r>
      <w:r w:rsidRPr="008D6279">
        <w:rPr>
          <w:color w:val="000000" w:themeColor="text1"/>
        </w:rPr>
        <w:t xml:space="preserve"> §§ 36.402(a)-(c), 36.403(d).</w:t>
      </w:r>
    </w:p>
  </w:footnote>
  <w:footnote w:id="23">
    <w:p w14:paraId="75573D24" w14:textId="77777777" w:rsidR="00BD2206" w:rsidRPr="008D6279" w:rsidRDefault="00BD2206">
      <w:pPr>
        <w:pStyle w:val="FootnoteText"/>
        <w:rPr>
          <w:color w:val="000000" w:themeColor="text1"/>
        </w:rPr>
      </w:pPr>
      <w:r w:rsidRPr="008D6279">
        <w:rPr>
          <w:rStyle w:val="FootnoteReference"/>
          <w:color w:val="000000" w:themeColor="text1"/>
        </w:rPr>
        <w:footnoteRef/>
      </w:r>
      <w:r w:rsidRPr="008D6279">
        <w:rPr>
          <w:color w:val="000000" w:themeColor="text1"/>
        </w:rPr>
        <w:t xml:space="preserve"> </w:t>
      </w:r>
      <w:r w:rsidRPr="008D6279">
        <w:rPr>
          <w:i/>
          <w:color w:val="000000" w:themeColor="text1"/>
        </w:rPr>
        <w:t>See</w:t>
      </w:r>
      <w:r w:rsidRPr="008D6279">
        <w:rPr>
          <w:color w:val="000000" w:themeColor="text1"/>
        </w:rPr>
        <w:t xml:space="preserve"> </w:t>
      </w:r>
      <w:r w:rsidRPr="008D6279">
        <w:rPr>
          <w:i/>
          <w:color w:val="000000" w:themeColor="text1"/>
        </w:rPr>
        <w:t>id.</w:t>
      </w:r>
      <w:r w:rsidRPr="008D6279">
        <w:rPr>
          <w:color w:val="000000" w:themeColor="text1"/>
        </w:rPr>
        <w:t xml:space="preserve"> § 36.401(a).</w:t>
      </w:r>
    </w:p>
  </w:footnote>
  <w:footnote w:id="24">
    <w:p w14:paraId="2ED183B8" w14:textId="77777777" w:rsidR="00BD2206" w:rsidRPr="008D6279" w:rsidRDefault="00BD2206">
      <w:pPr>
        <w:pStyle w:val="FootnoteText"/>
        <w:rPr>
          <w:color w:val="000000" w:themeColor="text1"/>
        </w:rPr>
      </w:pPr>
      <w:r w:rsidRPr="008D6279">
        <w:rPr>
          <w:rStyle w:val="FootnoteReference"/>
          <w:color w:val="000000" w:themeColor="text1"/>
        </w:rPr>
        <w:footnoteRef/>
      </w:r>
      <w:r w:rsidRPr="008D6279">
        <w:rPr>
          <w:color w:val="000000" w:themeColor="text1"/>
        </w:rPr>
        <w:t xml:space="preserve"> </w:t>
      </w:r>
      <w:r w:rsidRPr="008D6279">
        <w:rPr>
          <w:i/>
          <w:color w:val="000000" w:themeColor="text1"/>
        </w:rPr>
        <w:t>See</w:t>
      </w:r>
      <w:r w:rsidRPr="008D6279">
        <w:rPr>
          <w:color w:val="000000" w:themeColor="text1"/>
        </w:rPr>
        <w:t xml:space="preserve"> </w:t>
      </w:r>
      <w:r w:rsidRPr="008D6279">
        <w:rPr>
          <w:i/>
          <w:color w:val="000000" w:themeColor="text1"/>
        </w:rPr>
        <w:t xml:space="preserve">id. </w:t>
      </w:r>
      <w:r w:rsidRPr="008D6279">
        <w:rPr>
          <w:color w:val="000000" w:themeColor="text1"/>
        </w:rPr>
        <w:t>§ 36.401(b)(2).</w:t>
      </w:r>
    </w:p>
  </w:footnote>
  <w:footnote w:id="25">
    <w:p w14:paraId="36B6E437" w14:textId="77777777" w:rsidR="00BD2206" w:rsidRPr="008D6279" w:rsidRDefault="00BD2206">
      <w:pPr>
        <w:pStyle w:val="FootnoteText"/>
        <w:rPr>
          <w:color w:val="000000" w:themeColor="text1"/>
        </w:rPr>
      </w:pPr>
      <w:r w:rsidRPr="008D6279">
        <w:rPr>
          <w:rStyle w:val="FootnoteReference"/>
          <w:color w:val="000000" w:themeColor="text1"/>
        </w:rPr>
        <w:footnoteRef/>
      </w:r>
      <w:r w:rsidRPr="008D6279">
        <w:rPr>
          <w:color w:val="000000" w:themeColor="text1"/>
        </w:rPr>
        <w:t xml:space="preserve"> </w:t>
      </w:r>
      <w:r w:rsidRPr="008D6279">
        <w:rPr>
          <w:i/>
          <w:color w:val="000000" w:themeColor="text1"/>
        </w:rPr>
        <w:t>See</w:t>
      </w:r>
      <w:r w:rsidRPr="008D6279">
        <w:rPr>
          <w:color w:val="000000" w:themeColor="text1"/>
        </w:rPr>
        <w:t xml:space="preserve"> </w:t>
      </w:r>
      <w:r w:rsidRPr="008D6279">
        <w:rPr>
          <w:i/>
          <w:color w:val="000000" w:themeColor="text1"/>
        </w:rPr>
        <w:t>id</w:t>
      </w:r>
      <w:r w:rsidRPr="008D6279">
        <w:rPr>
          <w:color w:val="000000" w:themeColor="text1"/>
        </w:rPr>
        <w:t>.</w:t>
      </w:r>
      <w:r w:rsidRPr="008D6279">
        <w:rPr>
          <w:i/>
          <w:color w:val="000000" w:themeColor="text1"/>
        </w:rPr>
        <w:t xml:space="preserve"> </w:t>
      </w:r>
      <w:r w:rsidRPr="008D6279">
        <w:rPr>
          <w:color w:val="000000" w:themeColor="text1"/>
        </w:rPr>
        <w:t>§ 39.301.</w:t>
      </w:r>
    </w:p>
  </w:footnote>
  <w:footnote w:id="26">
    <w:p w14:paraId="215DD891" w14:textId="77777777" w:rsidR="00BD2206" w:rsidRPr="008D6279" w:rsidRDefault="00BD2206">
      <w:pPr>
        <w:pStyle w:val="FootnoteText"/>
        <w:rPr>
          <w:color w:val="000000" w:themeColor="text1"/>
        </w:rPr>
      </w:pPr>
      <w:r w:rsidRPr="008D6279">
        <w:rPr>
          <w:rStyle w:val="FootnoteReference"/>
          <w:color w:val="000000" w:themeColor="text1"/>
        </w:rPr>
        <w:footnoteRef/>
      </w:r>
      <w:r w:rsidRPr="008D6279">
        <w:rPr>
          <w:color w:val="000000" w:themeColor="text1"/>
        </w:rPr>
        <w:t xml:space="preserve"> </w:t>
      </w:r>
      <w:r w:rsidRPr="008D6279">
        <w:rPr>
          <w:i/>
          <w:color w:val="000000" w:themeColor="text1"/>
        </w:rPr>
        <w:t xml:space="preserve">Id. </w:t>
      </w:r>
      <w:r w:rsidRPr="008D6279">
        <w:rPr>
          <w:color w:val="000000" w:themeColor="text1"/>
        </w:rPr>
        <w:t>§ 39.301.</w:t>
      </w:r>
    </w:p>
  </w:footnote>
  <w:footnote w:id="27">
    <w:p w14:paraId="2849EA33" w14:textId="61B06818" w:rsidR="00BD2206" w:rsidRPr="008D6279" w:rsidRDefault="00BD2206" w:rsidP="003631D6">
      <w:pPr>
        <w:pStyle w:val="FootnoteText"/>
        <w:rPr>
          <w:color w:val="000000" w:themeColor="text1"/>
        </w:rPr>
      </w:pPr>
      <w:r w:rsidRPr="008D6279">
        <w:rPr>
          <w:rStyle w:val="FootnoteReference"/>
          <w:color w:val="000000" w:themeColor="text1"/>
        </w:rPr>
        <w:footnoteRef/>
      </w:r>
      <w:r w:rsidRPr="008D6279">
        <w:rPr>
          <w:color w:val="000000" w:themeColor="text1"/>
        </w:rPr>
        <w:t xml:space="preserve">  Hamlett Direct at </w:t>
      </w:r>
      <w:r w:rsidR="00492A8C">
        <w:rPr>
          <w:color w:val="000000" w:themeColor="text1"/>
        </w:rPr>
        <w:t>15</w:t>
      </w:r>
      <w:r w:rsidRPr="008D6279">
        <w:rPr>
          <w:color w:val="000000" w:themeColor="text1"/>
        </w:rPr>
        <w:t xml:space="preserve">. </w:t>
      </w:r>
    </w:p>
  </w:footnote>
  <w:footnote w:id="28">
    <w:p w14:paraId="5C9A0EBE" w14:textId="77777777" w:rsidR="00BD2206" w:rsidRPr="008D6279" w:rsidRDefault="00BD2206" w:rsidP="003631D6">
      <w:pPr>
        <w:pStyle w:val="FootnoteText"/>
        <w:rPr>
          <w:color w:val="000000" w:themeColor="text1"/>
        </w:rPr>
      </w:pPr>
      <w:r w:rsidRPr="008D6279">
        <w:rPr>
          <w:rStyle w:val="FootnoteReference"/>
          <w:color w:val="000000" w:themeColor="text1"/>
        </w:rPr>
        <w:footnoteRef/>
      </w:r>
      <w:r w:rsidRPr="008D6279">
        <w:rPr>
          <w:color w:val="000000" w:themeColor="text1"/>
        </w:rPr>
        <w:t xml:space="preserve">  </w:t>
      </w:r>
      <w:r w:rsidRPr="008D6279">
        <w:rPr>
          <w:i/>
          <w:color w:val="000000" w:themeColor="text1"/>
        </w:rPr>
        <w:t>Id.</w:t>
      </w:r>
    </w:p>
  </w:footnote>
  <w:footnote w:id="29">
    <w:p w14:paraId="43B86297" w14:textId="77777777" w:rsidR="00BD2206" w:rsidRPr="008D6279" w:rsidRDefault="00BD2206">
      <w:pPr>
        <w:pStyle w:val="FootnoteText"/>
        <w:rPr>
          <w:color w:val="000000" w:themeColor="text1"/>
        </w:rPr>
      </w:pPr>
      <w:r w:rsidRPr="008D6279">
        <w:rPr>
          <w:rStyle w:val="FootnoteReference"/>
          <w:color w:val="000000" w:themeColor="text1"/>
        </w:rPr>
        <w:footnoteRef/>
      </w:r>
      <w:r w:rsidRPr="008D6279">
        <w:rPr>
          <w:color w:val="000000" w:themeColor="text1"/>
        </w:rPr>
        <w:t xml:space="preserve"> </w:t>
      </w:r>
      <w:r w:rsidRPr="008D6279">
        <w:rPr>
          <w:i/>
          <w:color w:val="000000" w:themeColor="text1"/>
        </w:rPr>
        <w:t>See</w:t>
      </w:r>
      <w:r w:rsidRPr="008D6279">
        <w:rPr>
          <w:color w:val="000000" w:themeColor="text1"/>
        </w:rPr>
        <w:t xml:space="preserve"> PURA § 39.303(a).</w:t>
      </w:r>
    </w:p>
  </w:footnote>
  <w:footnote w:id="30">
    <w:p w14:paraId="13AB1D50" w14:textId="1B23A33E" w:rsidR="00BD2206" w:rsidRPr="008D6279" w:rsidRDefault="00BD2206" w:rsidP="003631D6">
      <w:pPr>
        <w:pStyle w:val="FootnoteText"/>
        <w:rPr>
          <w:color w:val="000000" w:themeColor="text1"/>
        </w:rPr>
      </w:pPr>
      <w:r w:rsidRPr="008D6279">
        <w:rPr>
          <w:rStyle w:val="FootnoteReference"/>
          <w:color w:val="000000" w:themeColor="text1"/>
        </w:rPr>
        <w:footnoteRef/>
      </w:r>
      <w:r w:rsidRPr="008D6279">
        <w:rPr>
          <w:i/>
          <w:color w:val="000000" w:themeColor="text1"/>
        </w:rPr>
        <w:t xml:space="preserve">  </w:t>
      </w:r>
      <w:r w:rsidRPr="008D6279">
        <w:rPr>
          <w:color w:val="000000" w:themeColor="text1"/>
        </w:rPr>
        <w:t xml:space="preserve">Hamlett Direct at </w:t>
      </w:r>
      <w:r w:rsidR="00492A8C">
        <w:rPr>
          <w:color w:val="000000" w:themeColor="text1"/>
        </w:rPr>
        <w:t>12</w:t>
      </w:r>
      <w:r w:rsidRPr="008D6279">
        <w:rPr>
          <w:color w:val="000000" w:themeColor="text1"/>
        </w:rPr>
        <w:t>.</w:t>
      </w:r>
    </w:p>
  </w:footnote>
  <w:footnote w:id="31">
    <w:p w14:paraId="26905377" w14:textId="77777777" w:rsidR="00BD2206" w:rsidRPr="008D6279" w:rsidRDefault="00BD2206" w:rsidP="003631D6">
      <w:pPr>
        <w:pStyle w:val="FootnoteText"/>
        <w:rPr>
          <w:color w:val="000000" w:themeColor="text1"/>
        </w:rPr>
      </w:pPr>
      <w:r w:rsidRPr="008D6279">
        <w:rPr>
          <w:rStyle w:val="FootnoteReference"/>
          <w:color w:val="000000" w:themeColor="text1"/>
        </w:rPr>
        <w:footnoteRef/>
      </w:r>
      <w:r w:rsidRPr="008D6279">
        <w:rPr>
          <w:color w:val="000000" w:themeColor="text1"/>
        </w:rPr>
        <w:t xml:space="preserve">  </w:t>
      </w:r>
      <w:r w:rsidRPr="008D6279">
        <w:rPr>
          <w:i/>
          <w:color w:val="000000" w:themeColor="text1"/>
        </w:rPr>
        <w:t>Id.</w:t>
      </w:r>
      <w:r w:rsidRPr="008D6279">
        <w:rPr>
          <w:color w:val="000000" w:themeColor="text1"/>
        </w:rPr>
        <w:t xml:space="preserve"> </w:t>
      </w:r>
    </w:p>
  </w:footnote>
  <w:footnote w:id="32">
    <w:p w14:paraId="09DEC810" w14:textId="77777777" w:rsidR="00BD2206" w:rsidRPr="008D6279" w:rsidRDefault="00BD2206" w:rsidP="003631D6">
      <w:pPr>
        <w:pStyle w:val="FootnoteText"/>
        <w:rPr>
          <w:color w:val="000000" w:themeColor="text1"/>
        </w:rPr>
      </w:pPr>
      <w:r w:rsidRPr="008D6279">
        <w:rPr>
          <w:rStyle w:val="FootnoteReference"/>
          <w:color w:val="000000" w:themeColor="text1"/>
        </w:rPr>
        <w:footnoteRef/>
      </w:r>
      <w:r w:rsidRPr="008D6279">
        <w:rPr>
          <w:i/>
          <w:color w:val="000000" w:themeColor="text1"/>
        </w:rPr>
        <w:t xml:space="preserve">  </w:t>
      </w:r>
      <w:r w:rsidRPr="008D6279">
        <w:rPr>
          <w:color w:val="000000" w:themeColor="text1"/>
        </w:rPr>
        <w:t xml:space="preserve">PURA § 36.403(f). </w:t>
      </w:r>
    </w:p>
  </w:footnote>
  <w:footnote w:id="33">
    <w:p w14:paraId="42ADBA65" w14:textId="77777777" w:rsidR="00BD2206" w:rsidRPr="008D6279" w:rsidRDefault="00BD2206" w:rsidP="003631D6">
      <w:pPr>
        <w:pStyle w:val="FootnoteText"/>
        <w:rPr>
          <w:color w:val="000000" w:themeColor="text1"/>
        </w:rPr>
      </w:pPr>
      <w:r w:rsidRPr="008D6279">
        <w:rPr>
          <w:rStyle w:val="FootnoteReference"/>
          <w:color w:val="000000" w:themeColor="text1"/>
        </w:rPr>
        <w:footnoteRef/>
      </w:r>
      <w:r w:rsidRPr="008D6279">
        <w:rPr>
          <w:i/>
          <w:color w:val="000000" w:themeColor="text1"/>
        </w:rPr>
        <w:t xml:space="preserve">  See id. </w:t>
      </w:r>
      <w:r w:rsidRPr="008D6279">
        <w:rPr>
          <w:color w:val="000000" w:themeColor="text1"/>
        </w:rPr>
        <w:t xml:space="preserve"> § 39.303(b). </w:t>
      </w:r>
    </w:p>
  </w:footnote>
  <w:footnote w:id="34">
    <w:p w14:paraId="571FD92A" w14:textId="77777777" w:rsidR="00BD2206" w:rsidRPr="008D6279" w:rsidRDefault="00BD2206" w:rsidP="00907893">
      <w:pPr>
        <w:pStyle w:val="FootnoteText"/>
        <w:rPr>
          <w:color w:val="000000" w:themeColor="text1"/>
        </w:rPr>
      </w:pPr>
      <w:bookmarkStart w:id="188" w:name="_cp_text_1_290"/>
      <w:r w:rsidRPr="008D6279">
        <w:rPr>
          <w:rStyle w:val="FootnoteReference"/>
          <w:color w:val="000000" w:themeColor="text1"/>
          <w:u w:color="0000FF"/>
        </w:rPr>
        <w:footnoteRef/>
      </w:r>
      <w:r w:rsidRPr="008D6279">
        <w:rPr>
          <w:color w:val="000000" w:themeColor="text1"/>
          <w:u w:color="0000FF"/>
        </w:rPr>
        <w:t xml:space="preserve"> PURA § 36.403(f).</w:t>
      </w:r>
      <w:r w:rsidRPr="008D6279">
        <w:rPr>
          <w:color w:val="000000" w:themeColor="text1"/>
        </w:rPr>
        <w:t xml:space="preserve"> </w:t>
      </w:r>
      <w:bookmarkEnd w:id="188"/>
    </w:p>
  </w:footnote>
  <w:footnote w:id="35">
    <w:p w14:paraId="1DD49174" w14:textId="77777777" w:rsidR="00BD2206" w:rsidRPr="008D6279" w:rsidRDefault="00BD2206" w:rsidP="003631D6">
      <w:pPr>
        <w:pStyle w:val="FootnoteText"/>
        <w:rPr>
          <w:color w:val="000000" w:themeColor="text1"/>
        </w:rPr>
      </w:pPr>
      <w:r w:rsidRPr="008D6279">
        <w:rPr>
          <w:rStyle w:val="FootnoteReference"/>
          <w:color w:val="000000" w:themeColor="text1"/>
        </w:rPr>
        <w:footnoteRef/>
      </w:r>
      <w:r w:rsidRPr="008D6279">
        <w:rPr>
          <w:i/>
          <w:color w:val="000000" w:themeColor="text1"/>
        </w:rPr>
        <w:t xml:space="preserve">  See id. </w:t>
      </w:r>
      <w:r w:rsidRPr="008D6279">
        <w:rPr>
          <w:color w:val="000000" w:themeColor="text1"/>
        </w:rPr>
        <w:t xml:space="preserve"> § 39.302(7). </w:t>
      </w:r>
    </w:p>
  </w:footnote>
  <w:footnote w:id="36">
    <w:p w14:paraId="02D8C9B1" w14:textId="77777777" w:rsidR="00BD2206" w:rsidRPr="008D6279" w:rsidRDefault="00BD2206" w:rsidP="00907893">
      <w:pPr>
        <w:pStyle w:val="FootnoteText"/>
        <w:rPr>
          <w:color w:val="000000" w:themeColor="text1"/>
        </w:rPr>
      </w:pPr>
      <w:bookmarkStart w:id="193" w:name="_cp_text_1_299"/>
      <w:r w:rsidRPr="008D6279">
        <w:rPr>
          <w:rStyle w:val="FootnoteReference"/>
          <w:color w:val="000000" w:themeColor="text1"/>
          <w:u w:color="0000FF"/>
        </w:rPr>
        <w:footnoteRef/>
      </w:r>
      <w:r w:rsidRPr="008D6279">
        <w:rPr>
          <w:color w:val="000000" w:themeColor="text1"/>
          <w:u w:color="0000FF"/>
        </w:rPr>
        <w:t xml:space="preserve"> PURA § 36.403(g).</w:t>
      </w:r>
      <w:bookmarkEnd w:id="193"/>
    </w:p>
  </w:footnote>
  <w:footnote w:id="37">
    <w:p w14:paraId="7EDCE408" w14:textId="77777777" w:rsidR="00BD2206" w:rsidRPr="008D6279" w:rsidRDefault="00BD2206">
      <w:pPr>
        <w:pStyle w:val="FootnoteText"/>
        <w:rPr>
          <w:color w:val="000000" w:themeColor="text1"/>
        </w:rPr>
      </w:pPr>
      <w:r w:rsidRPr="008D6279">
        <w:rPr>
          <w:rStyle w:val="FootnoteReference"/>
          <w:color w:val="000000" w:themeColor="text1"/>
        </w:rPr>
        <w:footnoteRef/>
      </w:r>
      <w:r w:rsidRPr="008D6279">
        <w:rPr>
          <w:color w:val="000000" w:themeColor="text1"/>
        </w:rPr>
        <w:t xml:space="preserve"> </w:t>
      </w:r>
      <w:r w:rsidRPr="008D6279">
        <w:rPr>
          <w:i/>
          <w:color w:val="000000" w:themeColor="text1"/>
        </w:rPr>
        <w:t xml:space="preserve">Id. </w:t>
      </w:r>
      <w:r w:rsidRPr="008D6279">
        <w:rPr>
          <w:color w:val="000000" w:themeColor="text1"/>
        </w:rPr>
        <w:t>§ 39.304(a).</w:t>
      </w:r>
    </w:p>
  </w:footnote>
  <w:footnote w:id="38">
    <w:p w14:paraId="7B24FF63" w14:textId="77777777" w:rsidR="00BD2206" w:rsidRPr="008D6279" w:rsidRDefault="00BD2206" w:rsidP="003631D6">
      <w:pPr>
        <w:pStyle w:val="FootnoteText"/>
        <w:rPr>
          <w:color w:val="000000" w:themeColor="text1"/>
        </w:rPr>
      </w:pPr>
      <w:r w:rsidRPr="008D6279">
        <w:rPr>
          <w:rStyle w:val="FootnoteReference"/>
          <w:color w:val="000000" w:themeColor="text1"/>
        </w:rPr>
        <w:footnoteRef/>
      </w:r>
      <w:r w:rsidRPr="008D6279">
        <w:rPr>
          <w:i/>
          <w:color w:val="000000" w:themeColor="text1"/>
        </w:rPr>
        <w:t xml:space="preserve">  See id. </w:t>
      </w:r>
      <w:r w:rsidRPr="008D6279">
        <w:rPr>
          <w:color w:val="000000" w:themeColor="text1"/>
        </w:rPr>
        <w:t xml:space="preserve"> § 39.304(b). </w:t>
      </w:r>
    </w:p>
  </w:footnote>
  <w:footnote w:id="39">
    <w:p w14:paraId="55667C2A" w14:textId="77777777" w:rsidR="00BD2206" w:rsidRPr="008D6279" w:rsidRDefault="00BD2206" w:rsidP="003631D6">
      <w:pPr>
        <w:pStyle w:val="FootnoteText"/>
        <w:rPr>
          <w:color w:val="000000" w:themeColor="text1"/>
        </w:rPr>
      </w:pPr>
      <w:r w:rsidRPr="008D6279">
        <w:rPr>
          <w:rStyle w:val="FootnoteReference"/>
          <w:color w:val="000000" w:themeColor="text1"/>
        </w:rPr>
        <w:footnoteRef/>
      </w:r>
      <w:r w:rsidRPr="008D6279">
        <w:rPr>
          <w:i/>
          <w:color w:val="000000" w:themeColor="text1"/>
        </w:rPr>
        <w:t xml:space="preserve">  See id. </w:t>
      </w:r>
      <w:r w:rsidRPr="008D6279">
        <w:rPr>
          <w:color w:val="000000" w:themeColor="text1"/>
        </w:rPr>
        <w:t xml:space="preserve"> §§ 36.404, 39.306. </w:t>
      </w:r>
    </w:p>
  </w:footnote>
  <w:footnote w:id="40">
    <w:p w14:paraId="57B63332" w14:textId="77777777" w:rsidR="00BD2206" w:rsidRPr="008D6279" w:rsidRDefault="00BD2206" w:rsidP="003631D6">
      <w:pPr>
        <w:pStyle w:val="FootnoteText"/>
        <w:rPr>
          <w:color w:val="000000" w:themeColor="text1"/>
        </w:rPr>
      </w:pPr>
      <w:r w:rsidRPr="008D6279">
        <w:rPr>
          <w:rStyle w:val="FootnoteReference"/>
          <w:color w:val="000000" w:themeColor="text1"/>
        </w:rPr>
        <w:footnoteRef/>
      </w:r>
      <w:r w:rsidRPr="008D6279">
        <w:rPr>
          <w:i/>
          <w:color w:val="000000" w:themeColor="text1"/>
        </w:rPr>
        <w:t xml:space="preserve">  See id. </w:t>
      </w:r>
      <w:r w:rsidRPr="008D6279">
        <w:rPr>
          <w:color w:val="000000" w:themeColor="text1"/>
        </w:rPr>
        <w:t xml:space="preserve"> § 39.307. </w:t>
      </w:r>
    </w:p>
  </w:footnote>
  <w:footnote w:id="41">
    <w:p w14:paraId="03D6DA23" w14:textId="77777777" w:rsidR="00BD2206" w:rsidRPr="008D6279" w:rsidRDefault="00BD2206" w:rsidP="003631D6">
      <w:pPr>
        <w:pStyle w:val="FootnoteText"/>
        <w:rPr>
          <w:color w:val="000000" w:themeColor="text1"/>
        </w:rPr>
      </w:pPr>
      <w:r w:rsidRPr="008D6279">
        <w:rPr>
          <w:rStyle w:val="FootnoteReference"/>
          <w:color w:val="000000" w:themeColor="text1"/>
        </w:rPr>
        <w:footnoteRef/>
      </w:r>
      <w:r w:rsidRPr="008D6279">
        <w:rPr>
          <w:i/>
          <w:color w:val="000000" w:themeColor="text1"/>
        </w:rPr>
        <w:t xml:space="preserve">  See id. </w:t>
      </w:r>
      <w:r w:rsidRPr="008D6279">
        <w:rPr>
          <w:color w:val="000000" w:themeColor="text1"/>
        </w:rPr>
        <w:t xml:space="preserve"> § 39.310. </w:t>
      </w:r>
    </w:p>
  </w:footnote>
  <w:footnote w:id="42">
    <w:p w14:paraId="647B2370" w14:textId="77777777" w:rsidR="00BD2206" w:rsidRPr="008D6279" w:rsidRDefault="00BD2206" w:rsidP="003631D6">
      <w:pPr>
        <w:pStyle w:val="FootnoteText"/>
        <w:rPr>
          <w:color w:val="000000" w:themeColor="text1"/>
        </w:rPr>
      </w:pPr>
      <w:r w:rsidRPr="008D6279">
        <w:rPr>
          <w:rStyle w:val="FootnoteReference"/>
          <w:color w:val="000000" w:themeColor="text1"/>
        </w:rPr>
        <w:footnoteRef/>
      </w:r>
      <w:r w:rsidRPr="008D6279">
        <w:rPr>
          <w:i/>
          <w:color w:val="000000" w:themeColor="text1"/>
        </w:rPr>
        <w:t xml:space="preserve">  See id. </w:t>
      </w:r>
      <w:r w:rsidRPr="008D6279">
        <w:rPr>
          <w:color w:val="000000" w:themeColor="text1"/>
        </w:rPr>
        <w:t xml:space="preserve"> § 39.304(b). </w:t>
      </w:r>
    </w:p>
  </w:footnote>
  <w:footnote w:id="43">
    <w:p w14:paraId="630B7EC4" w14:textId="77777777" w:rsidR="00BD2206" w:rsidRPr="008D6279" w:rsidRDefault="00BD2206" w:rsidP="003631D6">
      <w:pPr>
        <w:pStyle w:val="FootnoteText"/>
        <w:rPr>
          <w:color w:val="000000" w:themeColor="text1"/>
        </w:rPr>
      </w:pPr>
      <w:r w:rsidRPr="008D6279">
        <w:rPr>
          <w:rStyle w:val="FootnoteReference"/>
          <w:color w:val="000000" w:themeColor="text1"/>
        </w:rPr>
        <w:footnoteRef/>
      </w:r>
      <w:r w:rsidRPr="008D6279">
        <w:rPr>
          <w:i/>
          <w:color w:val="000000" w:themeColor="text1"/>
        </w:rPr>
        <w:t xml:space="preserve">  See id. </w:t>
      </w:r>
      <w:r w:rsidRPr="008D6279">
        <w:rPr>
          <w:color w:val="000000" w:themeColor="text1"/>
        </w:rPr>
        <w:t xml:space="preserve"> § 39.305. </w:t>
      </w:r>
    </w:p>
  </w:footnote>
  <w:footnote w:id="44">
    <w:p w14:paraId="4B0B0171" w14:textId="77777777" w:rsidR="00BD2206" w:rsidRPr="008D6279" w:rsidRDefault="00BD2206" w:rsidP="003631D6">
      <w:pPr>
        <w:pStyle w:val="FootnoteText"/>
        <w:rPr>
          <w:color w:val="000000" w:themeColor="text1"/>
        </w:rPr>
      </w:pPr>
      <w:r w:rsidRPr="008D6279">
        <w:rPr>
          <w:rStyle w:val="FootnoteReference"/>
          <w:color w:val="000000" w:themeColor="text1"/>
        </w:rPr>
        <w:footnoteRef/>
      </w:r>
      <w:r w:rsidRPr="008D6279">
        <w:rPr>
          <w:i/>
          <w:color w:val="000000" w:themeColor="text1"/>
        </w:rPr>
        <w:t xml:space="preserve">  See id. </w:t>
      </w:r>
      <w:r w:rsidRPr="008D6279">
        <w:rPr>
          <w:color w:val="000000" w:themeColor="text1"/>
        </w:rPr>
        <w:t xml:space="preserve"> § 39.311. </w:t>
      </w:r>
    </w:p>
  </w:footnote>
  <w:footnote w:id="45">
    <w:p w14:paraId="00431689" w14:textId="77777777" w:rsidR="00BD2206" w:rsidRPr="008D6279" w:rsidRDefault="00BD2206" w:rsidP="003631D6">
      <w:pPr>
        <w:pStyle w:val="FootnoteText"/>
        <w:rPr>
          <w:color w:val="000000" w:themeColor="text1"/>
        </w:rPr>
      </w:pPr>
      <w:r w:rsidRPr="008D6279">
        <w:rPr>
          <w:rStyle w:val="FootnoteReference"/>
          <w:color w:val="000000" w:themeColor="text1"/>
        </w:rPr>
        <w:footnoteRef/>
      </w:r>
      <w:r w:rsidRPr="008D6279">
        <w:rPr>
          <w:i/>
          <w:color w:val="000000" w:themeColor="text1"/>
        </w:rPr>
        <w:t xml:space="preserve">  See id. </w:t>
      </w:r>
      <w:r w:rsidRPr="008D6279">
        <w:rPr>
          <w:color w:val="000000" w:themeColor="text1"/>
        </w:rPr>
        <w:t xml:space="preserve"> § 39.309(a). </w:t>
      </w:r>
    </w:p>
  </w:footnote>
  <w:footnote w:id="46">
    <w:p w14:paraId="28C42803" w14:textId="77777777" w:rsidR="00BD2206" w:rsidRPr="008D6279" w:rsidRDefault="00BD2206" w:rsidP="003631D6">
      <w:pPr>
        <w:pStyle w:val="FootnoteText"/>
        <w:rPr>
          <w:color w:val="000000" w:themeColor="text1"/>
        </w:rPr>
      </w:pPr>
      <w:r w:rsidRPr="008D6279">
        <w:rPr>
          <w:rStyle w:val="FootnoteReference"/>
          <w:color w:val="000000" w:themeColor="text1"/>
        </w:rPr>
        <w:footnoteRef/>
      </w:r>
      <w:r w:rsidRPr="008D6279">
        <w:rPr>
          <w:i/>
          <w:color w:val="000000" w:themeColor="text1"/>
        </w:rPr>
        <w:t xml:space="preserve">  See id. </w:t>
      </w:r>
      <w:r w:rsidRPr="008D6279">
        <w:rPr>
          <w:color w:val="000000" w:themeColor="text1"/>
        </w:rPr>
        <w:t xml:space="preserve"> § 39.303(g). </w:t>
      </w:r>
    </w:p>
  </w:footnote>
  <w:footnote w:id="47">
    <w:p w14:paraId="083FD54F" w14:textId="77777777" w:rsidR="00BD2206" w:rsidRPr="008D6279" w:rsidRDefault="00BD2206" w:rsidP="003631D6">
      <w:pPr>
        <w:pStyle w:val="FootnoteText"/>
        <w:rPr>
          <w:color w:val="000000" w:themeColor="text1"/>
        </w:rPr>
      </w:pPr>
      <w:r w:rsidRPr="008D6279">
        <w:rPr>
          <w:rStyle w:val="FootnoteReference"/>
          <w:color w:val="000000" w:themeColor="text1"/>
        </w:rPr>
        <w:footnoteRef/>
      </w:r>
      <w:r w:rsidRPr="008D6279">
        <w:rPr>
          <w:color w:val="000000" w:themeColor="text1"/>
        </w:rPr>
        <w:t xml:space="preserve">  </w:t>
      </w:r>
      <w:r w:rsidRPr="008D6279">
        <w:rPr>
          <w:i/>
          <w:color w:val="000000" w:themeColor="text1"/>
        </w:rPr>
        <w:t>See</w:t>
      </w:r>
      <w:r w:rsidRPr="008D6279">
        <w:rPr>
          <w:color w:val="000000" w:themeColor="text1"/>
        </w:rPr>
        <w:t xml:space="preserve"> </w:t>
      </w:r>
      <w:r w:rsidRPr="008D6279">
        <w:rPr>
          <w:i/>
          <w:color w:val="000000" w:themeColor="text1"/>
        </w:rPr>
        <w:t>id</w:t>
      </w:r>
      <w:r w:rsidRPr="008D6279">
        <w:rPr>
          <w:color w:val="000000" w:themeColor="text1"/>
        </w:rPr>
        <w:t xml:space="preserve">. </w:t>
      </w:r>
    </w:p>
  </w:footnote>
  <w:footnote w:id="48">
    <w:p w14:paraId="13E6EDE0" w14:textId="77777777" w:rsidR="00BD2206" w:rsidRPr="008D6279" w:rsidRDefault="00BD2206">
      <w:pPr>
        <w:pStyle w:val="FootnoteText"/>
        <w:rPr>
          <w:color w:val="000000" w:themeColor="text1"/>
        </w:rPr>
      </w:pPr>
      <w:r w:rsidRPr="008D6279">
        <w:rPr>
          <w:rStyle w:val="FootnoteReference"/>
          <w:color w:val="000000" w:themeColor="text1"/>
        </w:rPr>
        <w:footnoteRef/>
      </w:r>
      <w:r w:rsidRPr="008D6279">
        <w:rPr>
          <w:color w:val="000000" w:themeColor="text1"/>
        </w:rPr>
        <w:t xml:space="preserve"> PURA § 39.304.</w:t>
      </w:r>
    </w:p>
  </w:footnote>
  <w:footnote w:id="49">
    <w:p w14:paraId="1D406A5E" w14:textId="77777777" w:rsidR="00BD2206" w:rsidRPr="008D6279" w:rsidRDefault="00BD2206" w:rsidP="003631D6">
      <w:pPr>
        <w:pStyle w:val="FootnoteText"/>
        <w:rPr>
          <w:color w:val="000000" w:themeColor="text1"/>
        </w:rPr>
      </w:pPr>
      <w:r w:rsidRPr="008D6279">
        <w:rPr>
          <w:rStyle w:val="FootnoteReference"/>
          <w:color w:val="000000" w:themeColor="text1"/>
        </w:rPr>
        <w:footnoteRef/>
      </w:r>
      <w:r w:rsidRPr="008D6279">
        <w:rPr>
          <w:color w:val="000000" w:themeColor="text1"/>
        </w:rPr>
        <w:t xml:space="preserve">  If more than one series of system restoration bonds is issued, each series will be issued pursuant to a separate indenture and be subject to its own set of basic agreements (</w:t>
      </w:r>
      <w:r w:rsidRPr="008D6279">
        <w:rPr>
          <w:i/>
          <w:color w:val="000000" w:themeColor="text1"/>
        </w:rPr>
        <w:t xml:space="preserve">e.g., </w:t>
      </w:r>
      <w:r w:rsidRPr="008D6279">
        <w:rPr>
          <w:color w:val="000000" w:themeColor="text1"/>
        </w:rPr>
        <w:t>Transition Property Purchase and Sale Agreement, Transition Property Servicing Agreement, Administration Agreement).  For purposes of this Financing Order, the description of the system restoration bonds applies to each series of system restoration bonds.</w:t>
      </w:r>
    </w:p>
  </w:footnote>
  <w:footnote w:id="50">
    <w:p w14:paraId="4B3D5045" w14:textId="77777777" w:rsidR="00BD2206" w:rsidRPr="008D6279" w:rsidRDefault="00BD2206" w:rsidP="003631D6">
      <w:pPr>
        <w:pStyle w:val="FootnoteText"/>
        <w:rPr>
          <w:color w:val="000000" w:themeColor="text1"/>
        </w:rPr>
      </w:pPr>
      <w:r w:rsidRPr="008D6279">
        <w:rPr>
          <w:rStyle w:val="FootnoteReference"/>
          <w:color w:val="000000" w:themeColor="text1"/>
        </w:rPr>
        <w:footnoteRef/>
      </w:r>
      <w:r w:rsidRPr="008D6279">
        <w:rPr>
          <w:color w:val="000000" w:themeColor="text1"/>
        </w:rPr>
        <w:t xml:space="preserve">  </w:t>
      </w:r>
      <w:r w:rsidRPr="008D6279">
        <w:rPr>
          <w:i/>
          <w:color w:val="000000" w:themeColor="text1"/>
        </w:rPr>
        <w:t>E.g</w:t>
      </w:r>
      <w:r w:rsidRPr="008D6279">
        <w:rPr>
          <w:color w:val="000000" w:themeColor="text1"/>
        </w:rPr>
        <w:t xml:space="preserve">., </w:t>
      </w:r>
      <w:r w:rsidRPr="008D6279">
        <w:rPr>
          <w:i/>
          <w:color w:val="000000" w:themeColor="text1"/>
        </w:rPr>
        <w:t>Application of AEP Texas Central Company for a Financing Order</w:t>
      </w:r>
      <w:r w:rsidRPr="008D6279">
        <w:rPr>
          <w:color w:val="000000" w:themeColor="text1"/>
        </w:rPr>
        <w:t xml:space="preserve">, Docket No. 32475, Financing Order at 14-15 (Jun. 21, 2006); </w:t>
      </w:r>
      <w:r w:rsidRPr="008D6279">
        <w:rPr>
          <w:i/>
          <w:color w:val="000000" w:themeColor="text1"/>
        </w:rPr>
        <w:t>Application of Entergy Gulf States, Inc. for a Financing Order</w:t>
      </w:r>
      <w:r w:rsidRPr="008D6279">
        <w:rPr>
          <w:color w:val="000000" w:themeColor="text1"/>
        </w:rPr>
        <w:t xml:space="preserve">, Docket No. 33586, Financing Order at 2 (Apr. 2, 2007); </w:t>
      </w:r>
      <w:r w:rsidRPr="008D6279">
        <w:rPr>
          <w:i/>
          <w:color w:val="000000" w:themeColor="text1"/>
        </w:rPr>
        <w:t>Application of CenterPoint Houston Electric, LLC for a Financing Order</w:t>
      </w:r>
      <w:r w:rsidRPr="008D6279">
        <w:rPr>
          <w:color w:val="000000" w:themeColor="text1"/>
        </w:rPr>
        <w:t xml:space="preserve">, Docket No. 34448, Financing Order at 2 (Sept. 18, 2007); </w:t>
      </w:r>
      <w:r w:rsidRPr="008D6279">
        <w:rPr>
          <w:i/>
          <w:color w:val="000000" w:themeColor="text1"/>
        </w:rPr>
        <w:t>Application of CenterPoint for a Financing Order</w:t>
      </w:r>
      <w:r w:rsidRPr="008D6279">
        <w:rPr>
          <w:color w:val="000000" w:themeColor="text1"/>
        </w:rPr>
        <w:t xml:space="preserve">, Docket No. 3700, Financing Order at 2 (Aug. 27, 2009); </w:t>
      </w:r>
      <w:r w:rsidRPr="008D6279">
        <w:rPr>
          <w:i/>
          <w:color w:val="000000" w:themeColor="text1"/>
        </w:rPr>
        <w:t>Application of Entergy Texas, Inc. for a Financing Order</w:t>
      </w:r>
      <w:r w:rsidRPr="008D6279">
        <w:rPr>
          <w:color w:val="000000" w:themeColor="text1"/>
        </w:rPr>
        <w:t xml:space="preserve">, Docket No. 37247, Financing Order at 2 (Sept. 11, 2009); </w:t>
      </w:r>
      <w:r w:rsidRPr="008D6279">
        <w:rPr>
          <w:i/>
          <w:color w:val="000000" w:themeColor="text1"/>
        </w:rPr>
        <w:t>Application of AEP Texas Central Company for a Financing Order</w:t>
      </w:r>
      <w:r w:rsidRPr="008D6279">
        <w:rPr>
          <w:color w:val="000000" w:themeColor="text1"/>
        </w:rPr>
        <w:t xml:space="preserve">, Docket No. 39931, Financing Order at 4 (Jan. 12, 2012). </w:t>
      </w:r>
    </w:p>
  </w:footnote>
  <w:footnote w:id="51">
    <w:p w14:paraId="0DD79E9C" w14:textId="0298C00B" w:rsidR="00BD2206" w:rsidRPr="008D6279" w:rsidRDefault="00BD2206" w:rsidP="00AB3F80">
      <w:pPr>
        <w:pStyle w:val="FootnoteText"/>
        <w:rPr>
          <w:color w:val="000000" w:themeColor="text1"/>
        </w:rPr>
      </w:pPr>
      <w:r w:rsidRPr="008D6279">
        <w:rPr>
          <w:rStyle w:val="FootnoteReference"/>
          <w:color w:val="000000" w:themeColor="text1"/>
        </w:rPr>
        <w:footnoteRef/>
      </w:r>
      <w:r w:rsidRPr="008D6279">
        <w:rPr>
          <w:color w:val="000000" w:themeColor="text1"/>
        </w:rPr>
        <w:t xml:space="preserve">  Direct Testimony of Noah K. Hollis at </w:t>
      </w:r>
      <w:r w:rsidR="00492A8C">
        <w:rPr>
          <w:color w:val="000000" w:themeColor="text1"/>
        </w:rPr>
        <w:t>17</w:t>
      </w:r>
      <w:r w:rsidRPr="008D6279">
        <w:rPr>
          <w:color w:val="000000" w:themeColor="text1"/>
        </w:rPr>
        <w:t>.</w:t>
      </w:r>
    </w:p>
  </w:footnote>
  <w:footnote w:id="52">
    <w:p w14:paraId="6B37B2B8" w14:textId="77777777" w:rsidR="00BD2206" w:rsidRPr="008D6279" w:rsidRDefault="00BD2206" w:rsidP="002406EE">
      <w:pPr>
        <w:pStyle w:val="FootnoteText"/>
        <w:rPr>
          <w:color w:val="000000" w:themeColor="text1"/>
        </w:rPr>
      </w:pPr>
      <w:r w:rsidRPr="008D6279">
        <w:rPr>
          <w:rStyle w:val="FootnoteReference"/>
          <w:color w:val="000000" w:themeColor="text1"/>
        </w:rPr>
        <w:footnoteRef/>
      </w:r>
      <w:r w:rsidRPr="008D6279">
        <w:rPr>
          <w:color w:val="000000" w:themeColor="text1"/>
        </w:rPr>
        <w:t xml:space="preserve">  PURA § 36.403(d).</w:t>
      </w:r>
    </w:p>
  </w:footnote>
  <w:footnote w:id="53">
    <w:p w14:paraId="52D0224C" w14:textId="7C70C012" w:rsidR="00BD2206" w:rsidRPr="008D6279" w:rsidRDefault="00BD2206" w:rsidP="003631D6">
      <w:pPr>
        <w:pStyle w:val="FootnoteText"/>
        <w:rPr>
          <w:color w:val="000000" w:themeColor="text1"/>
        </w:rPr>
      </w:pPr>
      <w:r w:rsidRPr="008D6279">
        <w:rPr>
          <w:rStyle w:val="FootnoteReference"/>
          <w:color w:val="000000" w:themeColor="text1"/>
        </w:rPr>
        <w:footnoteRef/>
      </w:r>
      <w:r w:rsidRPr="008D6279">
        <w:rPr>
          <w:color w:val="000000" w:themeColor="text1"/>
        </w:rPr>
        <w:t xml:space="preserve">  Hollis Direct at </w:t>
      </w:r>
      <w:r w:rsidR="00492A8C">
        <w:rPr>
          <w:color w:val="000000" w:themeColor="text1"/>
        </w:rPr>
        <w:t>17</w:t>
      </w:r>
      <w:r w:rsidRPr="008D6279">
        <w:rPr>
          <w:color w:val="000000" w:themeColor="text1"/>
        </w:rPr>
        <w:t>.</w:t>
      </w:r>
    </w:p>
  </w:footnote>
  <w:footnote w:id="54">
    <w:p w14:paraId="15C0955A" w14:textId="77777777" w:rsidR="00BD2206" w:rsidRPr="008D6279" w:rsidRDefault="00BD2206" w:rsidP="00DB41E1">
      <w:pPr>
        <w:pStyle w:val="FootnoteText"/>
        <w:rPr>
          <w:color w:val="000000" w:themeColor="text1"/>
        </w:rPr>
      </w:pPr>
      <w:r w:rsidRPr="008D6279">
        <w:rPr>
          <w:rStyle w:val="FootnoteReference"/>
          <w:color w:val="000000" w:themeColor="text1"/>
        </w:rPr>
        <w:footnoteRef/>
      </w:r>
      <w:r w:rsidRPr="008D6279">
        <w:rPr>
          <w:color w:val="000000" w:themeColor="text1"/>
        </w:rPr>
        <w:t xml:space="preserve"> </w:t>
      </w:r>
      <w:r w:rsidRPr="008D6279">
        <w:rPr>
          <w:i/>
          <w:color w:val="000000" w:themeColor="text1"/>
        </w:rPr>
        <w:t>See</w:t>
      </w:r>
      <w:r w:rsidRPr="008D6279">
        <w:rPr>
          <w:color w:val="000000" w:themeColor="text1"/>
        </w:rPr>
        <w:t xml:space="preserve"> PURA § 39.301.</w:t>
      </w:r>
    </w:p>
  </w:footnote>
  <w:footnote w:id="55">
    <w:p w14:paraId="182E6C13" w14:textId="77777777" w:rsidR="00BD2206" w:rsidRPr="008D6279" w:rsidRDefault="00BD2206" w:rsidP="00035D71">
      <w:pPr>
        <w:pStyle w:val="FootnoteText"/>
        <w:rPr>
          <w:color w:val="000000" w:themeColor="text1"/>
        </w:rPr>
      </w:pPr>
      <w:r w:rsidRPr="008D6279">
        <w:rPr>
          <w:rStyle w:val="FootnoteReference"/>
          <w:color w:val="000000" w:themeColor="text1"/>
        </w:rPr>
        <w:footnoteRef/>
      </w:r>
      <w:r w:rsidRPr="008D6279">
        <w:rPr>
          <w:color w:val="000000" w:themeColor="text1"/>
        </w:rPr>
        <w:t xml:space="preserve"> </w:t>
      </w:r>
      <w:r w:rsidRPr="008D6279">
        <w:rPr>
          <w:i/>
          <w:color w:val="000000" w:themeColor="text1"/>
        </w:rPr>
        <w:t xml:space="preserve">See </w:t>
      </w:r>
      <w:r w:rsidRPr="008D6279">
        <w:rPr>
          <w:color w:val="000000" w:themeColor="text1"/>
        </w:rPr>
        <w:t>PURA § 39.303(a).</w:t>
      </w:r>
    </w:p>
  </w:footnote>
  <w:footnote w:id="56">
    <w:p w14:paraId="14B2432C" w14:textId="77777777" w:rsidR="00BD2206" w:rsidRPr="008D6279" w:rsidRDefault="00BD2206" w:rsidP="003631D6">
      <w:pPr>
        <w:pStyle w:val="FootnoteText"/>
        <w:rPr>
          <w:color w:val="000000" w:themeColor="text1"/>
        </w:rPr>
      </w:pPr>
      <w:r w:rsidRPr="008D6279">
        <w:rPr>
          <w:rStyle w:val="FootnoteReference"/>
          <w:color w:val="000000" w:themeColor="text1"/>
        </w:rPr>
        <w:footnoteRef/>
      </w:r>
      <w:r w:rsidRPr="008D6279">
        <w:rPr>
          <w:color w:val="000000" w:themeColor="text1"/>
        </w:rPr>
        <w:t xml:space="preserve">  </w:t>
      </w:r>
      <w:r w:rsidRPr="008D6279">
        <w:rPr>
          <w:i/>
          <w:color w:val="000000" w:themeColor="text1"/>
        </w:rPr>
        <w:t>Application of AEP Texas Central Company for a Financing Order</w:t>
      </w:r>
      <w:r w:rsidRPr="008D6279">
        <w:rPr>
          <w:color w:val="000000" w:themeColor="text1"/>
        </w:rPr>
        <w:t>, Docket No. 32475, Financing Order (Jun. 21, 2006).</w:t>
      </w:r>
    </w:p>
  </w:footnote>
  <w:footnote w:id="57">
    <w:p w14:paraId="15C7AA41" w14:textId="616F84A6" w:rsidR="00BD2206" w:rsidRPr="008D6279" w:rsidRDefault="00BD2206">
      <w:pPr>
        <w:pStyle w:val="FootnoteText"/>
        <w:rPr>
          <w:color w:val="000000" w:themeColor="text1"/>
        </w:rPr>
      </w:pPr>
      <w:r w:rsidRPr="008D6279">
        <w:rPr>
          <w:rStyle w:val="FootnoteReference"/>
          <w:color w:val="000000" w:themeColor="text1"/>
        </w:rPr>
        <w:footnoteRef/>
      </w:r>
      <w:r w:rsidRPr="008D6279">
        <w:rPr>
          <w:color w:val="000000" w:themeColor="text1"/>
        </w:rPr>
        <w:t xml:space="preserve"> </w:t>
      </w:r>
      <w:r w:rsidRPr="008D6279">
        <w:rPr>
          <w:i/>
          <w:color w:val="000000" w:themeColor="text1"/>
        </w:rPr>
        <w:t>Application of AEP Texas Central Company for a Financing Order</w:t>
      </w:r>
      <w:r w:rsidRPr="008D6279">
        <w:rPr>
          <w:color w:val="000000" w:themeColor="text1"/>
        </w:rPr>
        <w:t>, Docket No. 39931, Financing Order (Jan. 12, 2012)</w:t>
      </w:r>
      <w:r>
        <w:rPr>
          <w:color w:val="000000" w:themeColor="text1"/>
        </w:rPr>
        <w:t>.</w:t>
      </w:r>
    </w:p>
  </w:footnote>
  <w:footnote w:id="58">
    <w:p w14:paraId="27DB4D17" w14:textId="77777777" w:rsidR="00BD2206" w:rsidRPr="008D6279" w:rsidRDefault="00BD2206" w:rsidP="003631D6">
      <w:pPr>
        <w:pStyle w:val="FootnoteText"/>
        <w:rPr>
          <w:color w:val="000000" w:themeColor="text1"/>
        </w:rPr>
      </w:pPr>
      <w:r w:rsidRPr="008D6279">
        <w:rPr>
          <w:rStyle w:val="FootnoteReference"/>
          <w:color w:val="000000" w:themeColor="text1"/>
        </w:rPr>
        <w:footnoteRef/>
      </w:r>
      <w:r w:rsidRPr="008D6279">
        <w:rPr>
          <w:color w:val="000000" w:themeColor="text1"/>
        </w:rPr>
        <w:t xml:space="preserve">  </w:t>
      </w:r>
      <w:r w:rsidRPr="008D6279">
        <w:rPr>
          <w:i/>
          <w:color w:val="000000" w:themeColor="text1"/>
        </w:rPr>
        <w:t>E.g</w:t>
      </w:r>
      <w:r w:rsidRPr="008D6279">
        <w:rPr>
          <w:color w:val="000000" w:themeColor="text1"/>
        </w:rPr>
        <w:t xml:space="preserve">., Docket No. 32475, Financing Order at 14-15; </w:t>
      </w:r>
      <w:r w:rsidRPr="008D6279">
        <w:rPr>
          <w:i/>
          <w:color w:val="000000" w:themeColor="text1"/>
        </w:rPr>
        <w:t>Application of Entergy Gulf States, Inc. for a Financing Order</w:t>
      </w:r>
      <w:r w:rsidRPr="008D6279">
        <w:rPr>
          <w:color w:val="000000" w:themeColor="text1"/>
        </w:rPr>
        <w:t xml:space="preserve">, Docket No. 33586, Financing Order at 2 (Apr. 2, 2007); </w:t>
      </w:r>
      <w:r w:rsidRPr="008D6279">
        <w:rPr>
          <w:i/>
          <w:color w:val="000000" w:themeColor="text1"/>
        </w:rPr>
        <w:t>Application of CenterPoint Houston Electric, LLC for a Financing Order</w:t>
      </w:r>
      <w:r w:rsidRPr="008D6279">
        <w:rPr>
          <w:color w:val="000000" w:themeColor="text1"/>
        </w:rPr>
        <w:t xml:space="preserve">, Docket No. 34448, Financing Order at 2 (Sept. 18, 2007); </w:t>
      </w:r>
      <w:r w:rsidRPr="008D6279">
        <w:rPr>
          <w:i/>
          <w:color w:val="000000" w:themeColor="text1"/>
        </w:rPr>
        <w:t>Application of CenterPoint for a Financing Order</w:t>
      </w:r>
      <w:r w:rsidRPr="008D6279">
        <w:rPr>
          <w:color w:val="000000" w:themeColor="text1"/>
        </w:rPr>
        <w:t xml:space="preserve">, Docket No. 37200, Financing Order at 2 (Aug. 27, 2009); </w:t>
      </w:r>
      <w:r w:rsidRPr="008D6279">
        <w:rPr>
          <w:i/>
          <w:color w:val="000000" w:themeColor="text1"/>
        </w:rPr>
        <w:t>Application of Entergy Texas, Inc. for a Financing Order</w:t>
      </w:r>
      <w:r w:rsidRPr="008D6279">
        <w:rPr>
          <w:color w:val="000000" w:themeColor="text1"/>
        </w:rPr>
        <w:t xml:space="preserve">, Docket No. 37247, Financing Order at 2 (Sept. 11, 2009); </w:t>
      </w:r>
      <w:r w:rsidRPr="008D6279">
        <w:rPr>
          <w:i/>
          <w:color w:val="000000" w:themeColor="text1"/>
        </w:rPr>
        <w:t>Application of AEP Texas Central Company for a Financing Order</w:t>
      </w:r>
      <w:r w:rsidRPr="008D6279">
        <w:rPr>
          <w:color w:val="000000" w:themeColor="text1"/>
        </w:rPr>
        <w:t>, Docket No. 39931, Financing Order at 4 (Jan. 12, 2012).</w:t>
      </w:r>
    </w:p>
  </w:footnote>
  <w:footnote w:id="59">
    <w:p w14:paraId="23293E27" w14:textId="77777777" w:rsidR="00BD2206" w:rsidRPr="008D6279" w:rsidRDefault="00BD2206" w:rsidP="003631D6">
      <w:pPr>
        <w:pStyle w:val="FootnoteText"/>
        <w:rPr>
          <w:color w:val="000000" w:themeColor="text1"/>
        </w:rPr>
      </w:pPr>
      <w:r w:rsidRPr="008D6279">
        <w:rPr>
          <w:rStyle w:val="FootnoteReference"/>
          <w:color w:val="000000" w:themeColor="text1"/>
        </w:rPr>
        <w:footnoteRef/>
      </w:r>
      <w:r w:rsidRPr="008D6279">
        <w:rPr>
          <w:color w:val="000000" w:themeColor="text1"/>
        </w:rPr>
        <w:t xml:space="preserve">  The term “assignee” means “any individual, corporation, or other legally recognized entity to which an interest in transition property is transferred, other than as security, including any assignee of that party.” </w:t>
      </w:r>
      <w:r w:rsidRPr="008D6279">
        <w:rPr>
          <w:i/>
          <w:color w:val="000000" w:themeColor="text1"/>
        </w:rPr>
        <w:t xml:space="preserve"> See </w:t>
      </w:r>
      <w:r w:rsidRPr="008D6279">
        <w:rPr>
          <w:color w:val="000000" w:themeColor="text1"/>
        </w:rPr>
        <w:t xml:space="preserve">PURA § 39.302(1). </w:t>
      </w:r>
    </w:p>
  </w:footnote>
  <w:footnote w:id="60">
    <w:p w14:paraId="7AC2132D" w14:textId="196AAA5F" w:rsidR="00BD2206" w:rsidRDefault="00BD2206">
      <w:pPr>
        <w:pStyle w:val="FootnoteText"/>
      </w:pPr>
      <w:r>
        <w:rPr>
          <w:rStyle w:val="FootnoteReference"/>
        </w:rPr>
        <w:footnoteRef/>
      </w:r>
      <w:r>
        <w:t xml:space="preserve"> </w:t>
      </w:r>
      <w:r w:rsidRPr="00E42ED9">
        <w:rPr>
          <w:i/>
        </w:rPr>
        <w:t xml:space="preserve">See </w:t>
      </w:r>
      <w:r>
        <w:t>PURA §§ 36.404; 39.252(c).</w:t>
      </w:r>
    </w:p>
  </w:footnote>
  <w:footnote w:id="61">
    <w:p w14:paraId="00422CFF" w14:textId="4997113A" w:rsidR="00BD2206" w:rsidRPr="008D6279" w:rsidRDefault="00BD2206" w:rsidP="00B76D44">
      <w:pPr>
        <w:pStyle w:val="FootnoteText"/>
        <w:rPr>
          <w:color w:val="000000" w:themeColor="text1"/>
        </w:rPr>
      </w:pPr>
      <w:r w:rsidRPr="008D6279">
        <w:rPr>
          <w:rStyle w:val="FootnoteReference"/>
          <w:color w:val="000000" w:themeColor="text1"/>
        </w:rPr>
        <w:footnoteRef/>
      </w:r>
      <w:r w:rsidRPr="008D6279">
        <w:rPr>
          <w:color w:val="000000" w:themeColor="text1"/>
        </w:rPr>
        <w:t xml:space="preserve"> </w:t>
      </w:r>
      <w:r w:rsidRPr="00E42ED9">
        <w:rPr>
          <w:i/>
          <w:color w:val="000000" w:themeColor="text1"/>
        </w:rPr>
        <w:t xml:space="preserve">See </w:t>
      </w:r>
      <w:r w:rsidRPr="008D6279">
        <w:rPr>
          <w:color w:val="000000" w:themeColor="text1"/>
        </w:rPr>
        <w:t xml:space="preserve">PURA </w:t>
      </w:r>
      <w:r w:rsidRPr="00E42ED9">
        <w:rPr>
          <w:color w:val="000000" w:themeColor="text1"/>
        </w:rPr>
        <w:t xml:space="preserve">§§ 36.404; </w:t>
      </w:r>
      <w:r w:rsidRPr="008D6279">
        <w:rPr>
          <w:color w:val="000000" w:themeColor="text1"/>
        </w:rPr>
        <w:t>39.252(b)(1); 262(k).</w:t>
      </w:r>
    </w:p>
  </w:footnote>
  <w:footnote w:id="62">
    <w:p w14:paraId="05C4E96A" w14:textId="437CC6F8" w:rsidR="00BD2206" w:rsidRPr="008D6279" w:rsidRDefault="00BD2206" w:rsidP="00B76D44">
      <w:pPr>
        <w:pStyle w:val="FootnoteText"/>
        <w:rPr>
          <w:color w:val="000000" w:themeColor="text1"/>
        </w:rPr>
      </w:pPr>
      <w:r w:rsidRPr="008D6279">
        <w:rPr>
          <w:rStyle w:val="FootnoteReference"/>
          <w:color w:val="000000" w:themeColor="text1"/>
        </w:rPr>
        <w:footnoteRef/>
      </w:r>
      <w:r w:rsidRPr="008D6279">
        <w:rPr>
          <w:color w:val="000000" w:themeColor="text1"/>
        </w:rPr>
        <w:t xml:space="preserve"> </w:t>
      </w:r>
      <w:r w:rsidRPr="008D6279">
        <w:rPr>
          <w:i/>
          <w:color w:val="000000" w:themeColor="text1"/>
        </w:rPr>
        <w:t xml:space="preserve">See </w:t>
      </w:r>
      <w:r w:rsidRPr="008D6279">
        <w:rPr>
          <w:color w:val="000000" w:themeColor="text1"/>
        </w:rPr>
        <w:t xml:space="preserve">PURA </w:t>
      </w:r>
      <w:r w:rsidRPr="00E42ED9">
        <w:rPr>
          <w:color w:val="000000" w:themeColor="text1"/>
        </w:rPr>
        <w:t xml:space="preserve">§§ 36.404; </w:t>
      </w:r>
      <w:r w:rsidRPr="008D6279">
        <w:rPr>
          <w:color w:val="000000" w:themeColor="text1"/>
        </w:rPr>
        <w:t>39.252(b)(2).</w:t>
      </w:r>
    </w:p>
  </w:footnote>
  <w:footnote w:id="63">
    <w:p w14:paraId="6E3B3284" w14:textId="77777777" w:rsidR="00BD2206" w:rsidRPr="008D6279" w:rsidRDefault="00BD2206" w:rsidP="00B76D44">
      <w:pPr>
        <w:pStyle w:val="FootnoteText"/>
        <w:rPr>
          <w:color w:val="000000" w:themeColor="text1"/>
        </w:rPr>
      </w:pPr>
      <w:r w:rsidRPr="008D6279">
        <w:rPr>
          <w:rStyle w:val="FootnoteReference"/>
          <w:color w:val="000000" w:themeColor="text1"/>
        </w:rPr>
        <w:footnoteRef/>
      </w:r>
      <w:r w:rsidRPr="008D6279">
        <w:rPr>
          <w:color w:val="000000" w:themeColor="text1"/>
        </w:rPr>
        <w:t xml:space="preserve"> </w:t>
      </w:r>
      <w:r w:rsidRPr="008D6279">
        <w:rPr>
          <w:i/>
          <w:color w:val="000000" w:themeColor="text1"/>
        </w:rPr>
        <w:t xml:space="preserve">Id. </w:t>
      </w:r>
    </w:p>
  </w:footnote>
  <w:footnote w:id="64">
    <w:p w14:paraId="700DE434" w14:textId="77777777" w:rsidR="00BD2206" w:rsidRPr="008D6279" w:rsidRDefault="00BD2206" w:rsidP="003631D6">
      <w:pPr>
        <w:pStyle w:val="FootnoteText"/>
        <w:rPr>
          <w:color w:val="000000" w:themeColor="text1"/>
          <w:lang w:val="fr-FR"/>
        </w:rPr>
      </w:pPr>
      <w:r w:rsidRPr="008D6279">
        <w:rPr>
          <w:rStyle w:val="FootnoteReference"/>
          <w:color w:val="000000" w:themeColor="text1"/>
        </w:rPr>
        <w:footnoteRef/>
      </w:r>
      <w:r w:rsidRPr="008D6279">
        <w:rPr>
          <w:color w:val="000000" w:themeColor="text1"/>
        </w:rPr>
        <w:t xml:space="preserve">  </w:t>
      </w:r>
      <w:r w:rsidRPr="008D6279">
        <w:rPr>
          <w:smallCaps/>
          <w:color w:val="000000" w:themeColor="text1"/>
          <w:lang w:val="fr-FR"/>
        </w:rPr>
        <w:t xml:space="preserve">Tex. </w:t>
      </w:r>
      <w:proofErr w:type="spellStart"/>
      <w:r w:rsidRPr="008D6279">
        <w:rPr>
          <w:smallCaps/>
          <w:color w:val="000000" w:themeColor="text1"/>
          <w:lang w:val="fr-FR"/>
        </w:rPr>
        <w:t>Gov’t</w:t>
      </w:r>
      <w:proofErr w:type="spellEnd"/>
      <w:r w:rsidRPr="008D6279">
        <w:rPr>
          <w:smallCaps/>
          <w:color w:val="000000" w:themeColor="text1"/>
          <w:lang w:val="fr-FR"/>
        </w:rPr>
        <w:t xml:space="preserve"> Code Ann</w:t>
      </w:r>
      <w:r w:rsidRPr="008D6279">
        <w:rPr>
          <w:color w:val="000000" w:themeColor="text1"/>
          <w:lang w:val="fr-FR"/>
        </w:rPr>
        <w:t xml:space="preserve">. §§ 2001.001-901 (West 2016 &amp; </w:t>
      </w:r>
      <w:proofErr w:type="spellStart"/>
      <w:r w:rsidRPr="008D6279">
        <w:rPr>
          <w:color w:val="000000" w:themeColor="text1"/>
          <w:lang w:val="fr-FR"/>
        </w:rPr>
        <w:t>Supp</w:t>
      </w:r>
      <w:proofErr w:type="spellEnd"/>
      <w:r w:rsidRPr="008D6279">
        <w:rPr>
          <w:color w:val="000000" w:themeColor="text1"/>
          <w:lang w:val="fr-FR"/>
        </w:rPr>
        <w:t xml:space="preserve">. 2018).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C4DDD1" w14:textId="77777777" w:rsidR="005338FC" w:rsidRDefault="005338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9043C4" w14:textId="72E1DCAD" w:rsidR="00BD2206" w:rsidRDefault="00BD2206" w:rsidP="00AC6CC0">
    <w:pPr>
      <w:pStyle w:val="Header"/>
    </w:pPr>
    <w:r>
      <w:ptab w:relativeTo="margin" w:alignment="right" w:leader="none"/>
    </w:r>
    <w:r>
      <w:t>Attachment 2</w:t>
    </w:r>
  </w:p>
  <w:p w14:paraId="5DDBBF7F" w14:textId="1C8E3DDF" w:rsidR="005338FC" w:rsidRDefault="005338FC" w:rsidP="000B672D">
    <w:pPr>
      <w:pStyle w:val="Header"/>
      <w:jc w:val="right"/>
    </w:pPr>
    <w:r>
      <w:t xml:space="preserve">Page </w:t>
    </w:r>
    <w:r>
      <w:rPr>
        <w:b w:val="0"/>
        <w:bCs/>
      </w:rPr>
      <w:fldChar w:fldCharType="begin"/>
    </w:r>
    <w:r>
      <w:rPr>
        <w:bCs/>
      </w:rPr>
      <w:instrText xml:space="preserve"> PAGE  \* Arabic  \* MERGEFORMAT </w:instrText>
    </w:r>
    <w:r>
      <w:rPr>
        <w:b w:val="0"/>
        <w:bCs/>
      </w:rPr>
      <w:fldChar w:fldCharType="separate"/>
    </w:r>
    <w:r w:rsidR="0073734F">
      <w:rPr>
        <w:bCs/>
        <w:noProof/>
      </w:rPr>
      <w:t>2</w:t>
    </w:r>
    <w:r>
      <w:rPr>
        <w:b w:val="0"/>
        <w:bCs/>
      </w:rPr>
      <w:fldChar w:fldCharType="end"/>
    </w:r>
    <w:r>
      <w:t xml:space="preserve"> of </w:t>
    </w:r>
    <w:r>
      <w:rPr>
        <w:b w:val="0"/>
        <w:bCs/>
      </w:rPr>
      <w:fldChar w:fldCharType="begin"/>
    </w:r>
    <w:r>
      <w:rPr>
        <w:bCs/>
      </w:rPr>
      <w:instrText xml:space="preserve"> NUMPAGES  \* Arabic  \* MERGEFORMAT </w:instrText>
    </w:r>
    <w:r>
      <w:rPr>
        <w:b w:val="0"/>
        <w:bCs/>
      </w:rPr>
      <w:fldChar w:fldCharType="separate"/>
    </w:r>
    <w:r w:rsidR="0073734F">
      <w:rPr>
        <w:bCs/>
        <w:noProof/>
      </w:rPr>
      <w:t>89</w:t>
    </w:r>
    <w:r>
      <w:rPr>
        <w:b w:val="0"/>
        <w:bCs/>
      </w:rPr>
      <w:fldChar w:fldCharType="end"/>
    </w:r>
  </w:p>
  <w:p w14:paraId="1D8A46AF" w14:textId="77777777" w:rsidR="00BD2206" w:rsidRDefault="00BD22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A27AA3" w14:textId="59863A73" w:rsidR="00BD2206" w:rsidRDefault="00BD2206">
    <w:pPr>
      <w:pStyle w:val="Header"/>
    </w:pPr>
    <w:r>
      <w:ptab w:relativeTo="margin" w:alignment="right" w:leader="none"/>
    </w:r>
    <w:r>
      <w:t>Attachment 2</w:t>
    </w:r>
  </w:p>
  <w:p w14:paraId="0D7D2692" w14:textId="2722D9DC" w:rsidR="005338FC" w:rsidRDefault="005338FC" w:rsidP="000B672D">
    <w:pPr>
      <w:pStyle w:val="Header"/>
      <w:jc w:val="right"/>
    </w:pPr>
    <w:r>
      <w:t xml:space="preserve">Page </w:t>
    </w:r>
    <w:r>
      <w:rPr>
        <w:b w:val="0"/>
        <w:bCs/>
      </w:rPr>
      <w:fldChar w:fldCharType="begin"/>
    </w:r>
    <w:r>
      <w:rPr>
        <w:bCs/>
      </w:rPr>
      <w:instrText xml:space="preserve"> PAGE  \* Arabic  \* MERGEFORMAT </w:instrText>
    </w:r>
    <w:r>
      <w:rPr>
        <w:b w:val="0"/>
        <w:bCs/>
      </w:rPr>
      <w:fldChar w:fldCharType="separate"/>
    </w:r>
    <w:r w:rsidR="0073734F">
      <w:rPr>
        <w:bCs/>
        <w:noProof/>
      </w:rPr>
      <w:t>3</w:t>
    </w:r>
    <w:r>
      <w:rPr>
        <w:b w:val="0"/>
        <w:bCs/>
      </w:rPr>
      <w:fldChar w:fldCharType="end"/>
    </w:r>
    <w:r>
      <w:t xml:space="preserve"> of </w:t>
    </w:r>
    <w:r>
      <w:rPr>
        <w:b w:val="0"/>
        <w:bCs/>
      </w:rPr>
      <w:fldChar w:fldCharType="begin"/>
    </w:r>
    <w:r>
      <w:rPr>
        <w:bCs/>
      </w:rPr>
      <w:instrText xml:space="preserve"> NUMPAGES  \* Arabic  \* MERGEFORMAT </w:instrText>
    </w:r>
    <w:r>
      <w:rPr>
        <w:b w:val="0"/>
        <w:bCs/>
      </w:rPr>
      <w:fldChar w:fldCharType="separate"/>
    </w:r>
    <w:r w:rsidR="0073734F">
      <w:rPr>
        <w:bCs/>
        <w:noProof/>
      </w:rPr>
      <w:t>89</w:t>
    </w:r>
    <w:r>
      <w:rPr>
        <w:b w:val="0"/>
        <w:bCs/>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18277" w14:textId="08A604FD" w:rsidR="005338FC" w:rsidRDefault="005338FC" w:rsidP="000B672D">
    <w:pPr>
      <w:pStyle w:val="Header"/>
      <w:tabs>
        <w:tab w:val="clear" w:pos="4320"/>
        <w:tab w:val="clear" w:pos="8640"/>
        <w:tab w:val="center" w:pos="4680"/>
        <w:tab w:val="right" w:pos="9360"/>
      </w:tabs>
      <w:jc w:val="right"/>
    </w:pPr>
    <w:r>
      <w:t>Attachment 2</w:t>
    </w:r>
  </w:p>
  <w:p w14:paraId="6B292768" w14:textId="484EB9F1" w:rsidR="00BD2206" w:rsidRDefault="00BD2206" w:rsidP="00B16C4B">
    <w:pPr>
      <w:pStyle w:val="Header"/>
      <w:tabs>
        <w:tab w:val="clear" w:pos="4320"/>
        <w:tab w:val="clear" w:pos="8640"/>
        <w:tab w:val="center" w:pos="4680"/>
        <w:tab w:val="right" w:pos="9360"/>
      </w:tabs>
      <w:rPr>
        <w:rStyle w:val="PageNumber"/>
      </w:rPr>
    </w:pPr>
    <w:r>
      <w:t>Docket No. ______</w:t>
    </w:r>
    <w:r>
      <w:tab/>
      <w:t>Financing Order</w:t>
    </w:r>
    <w:r>
      <w:tab/>
      <w:t xml:space="preserve">Page </w:t>
    </w:r>
    <w:r>
      <w:rPr>
        <w:rStyle w:val="PageNumber"/>
      </w:rPr>
      <w:fldChar w:fldCharType="begin"/>
    </w:r>
    <w:r>
      <w:rPr>
        <w:rStyle w:val="PageNumber"/>
      </w:rPr>
      <w:instrText xml:space="preserve"> PAGE </w:instrText>
    </w:r>
    <w:r>
      <w:rPr>
        <w:rStyle w:val="PageNumber"/>
      </w:rPr>
      <w:fldChar w:fldCharType="separate"/>
    </w:r>
    <w:r w:rsidR="0073734F">
      <w:rPr>
        <w:rStyle w:val="PageNumber"/>
        <w:noProof/>
      </w:rPr>
      <w:t>55</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73734F">
      <w:rPr>
        <w:rStyle w:val="PageNumber"/>
        <w:noProof/>
      </w:rPr>
      <w:t>89</w:t>
    </w:r>
    <w:r>
      <w:rPr>
        <w:rStyle w:val="PageNumber"/>
      </w:rPr>
      <w:fldChar w:fldCharType="end"/>
    </w:r>
  </w:p>
  <w:p w14:paraId="4DCAF7F4" w14:textId="77777777" w:rsidR="00BD2206" w:rsidRDefault="00BD2206">
    <w:pPr>
      <w:pStyle w:val="Header"/>
      <w:rPr>
        <w:rStyle w:val="PageNumber"/>
      </w:rPr>
    </w:pPr>
  </w:p>
  <w:p w14:paraId="7E9723E7" w14:textId="77777777" w:rsidR="00BD2206" w:rsidRDefault="00BD22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C7726"/>
    <w:multiLevelType w:val="singleLevel"/>
    <w:tmpl w:val="C974120C"/>
    <w:lvl w:ilvl="0">
      <w:start w:val="1"/>
      <w:numFmt w:val="decimal"/>
      <w:pStyle w:val="COLNumbered"/>
      <w:lvlText w:val="%1."/>
      <w:lvlJc w:val="left"/>
      <w:pPr>
        <w:tabs>
          <w:tab w:val="num" w:pos="720"/>
        </w:tabs>
        <w:ind w:left="720" w:hanging="720"/>
      </w:pPr>
    </w:lvl>
  </w:abstractNum>
  <w:abstractNum w:abstractNumId="1" w15:restartNumberingAfterBreak="0">
    <w:nsid w:val="0A8F3D5E"/>
    <w:multiLevelType w:val="singleLevel"/>
    <w:tmpl w:val="1E0AEA0E"/>
    <w:lvl w:ilvl="0">
      <w:start w:val="1"/>
      <w:numFmt w:val="decimal"/>
      <w:pStyle w:val="FOFNumbered"/>
      <w:lvlText w:val="%1."/>
      <w:lvlJc w:val="left"/>
      <w:pPr>
        <w:tabs>
          <w:tab w:val="num" w:pos="720"/>
        </w:tabs>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2" w15:restartNumberingAfterBreak="0">
    <w:nsid w:val="182039B5"/>
    <w:multiLevelType w:val="multilevel"/>
    <w:tmpl w:val="E9202C34"/>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pStyle w:val="Heading5"/>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 w15:restartNumberingAfterBreak="0">
    <w:nsid w:val="36580792"/>
    <w:multiLevelType w:val="multilevel"/>
    <w:tmpl w:val="D01AF2DE"/>
    <w:lvl w:ilvl="0">
      <w:start w:val="1"/>
      <w:numFmt w:val="upperRoman"/>
      <w:lvlRestart w:val="0"/>
      <w:suff w:val="nothing"/>
      <w:lvlText w:val="%1. "/>
      <w:lvlJc w:val="left"/>
      <w:pPr>
        <w:tabs>
          <w:tab w:val="num" w:pos="0"/>
        </w:tabs>
        <w:ind w:left="0" w:firstLine="0"/>
      </w:pPr>
      <w:rPr>
        <w:rFonts w:hint="default"/>
        <w:b/>
        <w:i w:val="0"/>
        <w:caps w:val="0"/>
        <w:smallCaps w:val="0"/>
        <w:color w:val="auto"/>
        <w:u w:val="none"/>
      </w:rPr>
    </w:lvl>
    <w:lvl w:ilvl="1">
      <w:start w:val="1"/>
      <w:numFmt w:val="upperLetter"/>
      <w:suff w:val="nothing"/>
      <w:lvlText w:val="%2. "/>
      <w:lvlJc w:val="left"/>
      <w:pPr>
        <w:tabs>
          <w:tab w:val="num" w:pos="0"/>
        </w:tabs>
        <w:ind w:left="0" w:firstLine="0"/>
      </w:pPr>
      <w:rPr>
        <w:rFonts w:hint="default"/>
        <w:b/>
        <w:i w:val="0"/>
        <w:caps w:val="0"/>
        <w:smallCaps w:val="0"/>
        <w:color w:val="auto"/>
        <w:u w:val="none"/>
      </w:rPr>
    </w:lvl>
    <w:lvl w:ilvl="2">
      <w:start w:val="1"/>
      <w:numFmt w:val="decimal"/>
      <w:lvlText w:val="%3."/>
      <w:lvlJc w:val="left"/>
      <w:pPr>
        <w:tabs>
          <w:tab w:val="num" w:pos="360"/>
        </w:tabs>
        <w:ind w:left="0" w:firstLine="0"/>
      </w:pPr>
      <w:rPr>
        <w:rFonts w:hint="default"/>
        <w:b/>
        <w:i w:val="0"/>
        <w:caps w:val="0"/>
        <w:smallCaps w:val="0"/>
        <w:color w:val="auto"/>
        <w:u w:val="none"/>
      </w:rPr>
    </w:lvl>
    <w:lvl w:ilvl="3">
      <w:start w:val="1"/>
      <w:numFmt w:val="lowerLetter"/>
      <w:lvlRestart w:val="0"/>
      <w:lvlText w:val="%4."/>
      <w:lvlJc w:val="left"/>
      <w:pPr>
        <w:tabs>
          <w:tab w:val="num" w:pos="360"/>
        </w:tabs>
        <w:ind w:left="0" w:firstLine="0"/>
      </w:pPr>
      <w:rPr>
        <w:rFonts w:hint="default"/>
        <w:b/>
        <w:i w:val="0"/>
        <w:caps w:val="0"/>
        <w:smallCaps w:val="0"/>
        <w:color w:val="auto"/>
        <w:u w:val="none"/>
      </w:rPr>
    </w:lvl>
    <w:lvl w:ilvl="4">
      <w:start w:val="1"/>
      <w:numFmt w:val="lowerLetter"/>
      <w:suff w:val="nothing"/>
      <w:lvlText w:val="(%5) "/>
      <w:lvlJc w:val="left"/>
      <w:pPr>
        <w:tabs>
          <w:tab w:val="num" w:pos="0"/>
        </w:tabs>
        <w:ind w:left="720" w:firstLine="0"/>
      </w:pPr>
      <w:rPr>
        <w:rFonts w:hint="default"/>
        <w:b/>
        <w:i w:val="0"/>
        <w:caps w:val="0"/>
        <w:smallCaps w:val="0"/>
        <w:color w:val="auto"/>
        <w:u w:val="none"/>
      </w:rPr>
    </w:lvl>
    <w:lvl w:ilvl="5">
      <w:start w:val="1"/>
      <w:numFmt w:val="decimal"/>
      <w:lvlText w:val="(%6)"/>
      <w:lvlJc w:val="left"/>
      <w:pPr>
        <w:tabs>
          <w:tab w:val="num" w:pos="1800"/>
        </w:tabs>
        <w:ind w:left="1080" w:firstLine="0"/>
      </w:pPr>
      <w:rPr>
        <w:rFonts w:hint="default"/>
        <w:b w:val="0"/>
        <w:i w:val="0"/>
        <w:caps w:val="0"/>
        <w:smallCaps w:val="0"/>
        <w:color w:val="auto"/>
        <w:u w:val="none"/>
      </w:rPr>
    </w:lvl>
    <w:lvl w:ilvl="6">
      <w:start w:val="1"/>
      <w:numFmt w:val="lowerLetter"/>
      <w:lvlRestart w:val="0"/>
      <w:lvlText w:val="(%7)"/>
      <w:lvlJc w:val="left"/>
      <w:pPr>
        <w:tabs>
          <w:tab w:val="num" w:pos="1800"/>
        </w:tabs>
        <w:ind w:left="1080" w:firstLine="360"/>
      </w:pPr>
      <w:rPr>
        <w:rFonts w:hint="default"/>
        <w:b w:val="0"/>
        <w:i w:val="0"/>
        <w:caps w:val="0"/>
        <w:smallCaps w:val="0"/>
        <w:color w:val="auto"/>
        <w:u w:val="none"/>
      </w:rPr>
    </w:lvl>
    <w:lvl w:ilvl="7">
      <w:start w:val="1"/>
      <w:numFmt w:val="lowerLetter"/>
      <w:lvlText w:val="%8"/>
      <w:lvlJc w:val="left"/>
      <w:pPr>
        <w:tabs>
          <w:tab w:val="num" w:pos="2880"/>
        </w:tabs>
        <w:ind w:left="2880" w:hanging="360"/>
      </w:pPr>
      <w:rPr>
        <w:rFonts w:hint="default"/>
        <w:b w:val="0"/>
        <w:i w:val="0"/>
        <w:caps w:val="0"/>
        <w:smallCaps w:val="0"/>
        <w:color w:val="auto"/>
      </w:rPr>
    </w:lvl>
    <w:lvl w:ilvl="8">
      <w:start w:val="1"/>
      <w:numFmt w:val="decimal"/>
      <w:lvlRestart w:val="0"/>
      <w:lvlText w:val="%9."/>
      <w:lvlJc w:val="left"/>
      <w:pPr>
        <w:tabs>
          <w:tab w:val="num" w:pos="720"/>
        </w:tabs>
        <w:ind w:left="720" w:hanging="720"/>
      </w:pPr>
      <w:rPr>
        <w:rFonts w:ascii="Times New Roman" w:hAnsi="Times New Roman" w:cs="Times New Roman" w:hint="default"/>
        <w:b w:val="0"/>
        <w:i w:val="0"/>
        <w:caps w:val="0"/>
        <w:smallCaps w:val="0"/>
        <w:strike w:val="0"/>
        <w:dstrike w:val="0"/>
        <w:vanish w:val="0"/>
        <w:color w:val="auto"/>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AA504FA"/>
    <w:multiLevelType w:val="hybridMultilevel"/>
    <w:tmpl w:val="B178F872"/>
    <w:lvl w:ilvl="0" w:tplc="D39C8EB8">
      <w:start w:val="1"/>
      <w:numFmt w:val="upperLetter"/>
      <w:pStyle w:val="Heading10"/>
      <w:lvlText w:val="%1."/>
      <w:lvlJc w:val="left"/>
      <w:pPr>
        <w:tabs>
          <w:tab w:val="num" w:pos="1440"/>
        </w:tabs>
        <w:ind w:left="1440" w:hanging="720"/>
      </w:pPr>
      <w:rPr>
        <w:rFonts w:hint="default"/>
        <w:b w:val="0"/>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2484CF3"/>
    <w:multiLevelType w:val="multilevel"/>
    <w:tmpl w:val="0EE6EFA0"/>
    <w:lvl w:ilvl="0">
      <w:start w:val="1"/>
      <w:numFmt w:val="lowerLetter"/>
      <w:lvlText w:val="%1."/>
      <w:lvlJc w:val="left"/>
      <w:pPr>
        <w:tabs>
          <w:tab w:val="num" w:pos="360"/>
        </w:tabs>
        <w:ind w:left="360" w:hanging="360"/>
      </w:pPr>
      <w:rPr>
        <w:rFonts w:ascii="Times New Roman" w:eastAsia="Times New Roman" w:hAnsi="Times New Roman" w:cs="Times New Roman"/>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60544DB3"/>
    <w:multiLevelType w:val="hybridMultilevel"/>
    <w:tmpl w:val="2DDCDADC"/>
    <w:lvl w:ilvl="0" w:tplc="0F988A5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CB40FCA"/>
    <w:multiLevelType w:val="singleLevel"/>
    <w:tmpl w:val="F24A7FE4"/>
    <w:lvl w:ilvl="0">
      <w:start w:val="1"/>
      <w:numFmt w:val="lowerLetter"/>
      <w:lvlText w:val="(%1)"/>
      <w:lvlJc w:val="left"/>
      <w:pPr>
        <w:tabs>
          <w:tab w:val="num" w:pos="360"/>
        </w:tabs>
        <w:ind w:left="360" w:hanging="360"/>
      </w:pPr>
      <w:rPr>
        <w:rFonts w:hint="default"/>
      </w:rPr>
    </w:lvl>
  </w:abstractNum>
  <w:abstractNum w:abstractNumId="8" w15:restartNumberingAfterBreak="0">
    <w:nsid w:val="6F502CE1"/>
    <w:multiLevelType w:val="singleLevel"/>
    <w:tmpl w:val="7FC8B18A"/>
    <w:lvl w:ilvl="0">
      <w:start w:val="1"/>
      <w:numFmt w:val="decimal"/>
      <w:pStyle w:val="OrderingNumbered"/>
      <w:lvlText w:val="%1."/>
      <w:lvlJc w:val="left"/>
      <w:pPr>
        <w:tabs>
          <w:tab w:val="num" w:pos="720"/>
        </w:tabs>
        <w:ind w:left="720" w:hanging="720"/>
      </w:pPr>
      <w:rPr>
        <w:b w:val="0"/>
      </w:rPr>
    </w:lvl>
  </w:abstractNum>
  <w:abstractNum w:abstractNumId="9" w15:restartNumberingAfterBreak="0">
    <w:nsid w:val="6F6B1C74"/>
    <w:multiLevelType w:val="multilevel"/>
    <w:tmpl w:val="54C0B1B2"/>
    <w:lvl w:ilvl="0">
      <w:start w:val="1"/>
      <w:numFmt w:val="upperRoman"/>
      <w:pStyle w:val="Heading1"/>
      <w:suff w:val="space"/>
      <w:lvlText w:val="%1."/>
      <w:lvlJc w:val="center"/>
      <w:pPr>
        <w:ind w:left="0" w:firstLine="288"/>
      </w:pPr>
    </w:lvl>
    <w:lvl w:ilvl="1">
      <w:start w:val="1"/>
      <w:numFmt w:val="upperLetter"/>
      <w:pStyle w:val="Heading2"/>
      <w:suff w:val="space"/>
      <w:lvlText w:val="%2."/>
      <w:lvlJc w:val="center"/>
      <w:pPr>
        <w:ind w:left="0" w:firstLine="0"/>
      </w:pPr>
    </w:lvl>
    <w:lvl w:ilvl="2">
      <w:start w:val="1"/>
      <w:numFmt w:val="decimal"/>
      <w:pStyle w:val="Heading3"/>
      <w:lvlText w:val="%3."/>
      <w:lvlJc w:val="left"/>
      <w:pPr>
        <w:tabs>
          <w:tab w:val="num" w:pos="360"/>
        </w:tabs>
        <w:ind w:left="0" w:firstLine="0"/>
      </w:pPr>
    </w:lvl>
    <w:lvl w:ilvl="3">
      <w:start w:val="1"/>
      <w:numFmt w:val="lowerLetter"/>
      <w:pStyle w:val="Heading4"/>
      <w:lvlText w:val="%4."/>
      <w:lvlJc w:val="left"/>
      <w:pPr>
        <w:tabs>
          <w:tab w:val="num" w:pos="450"/>
        </w:tabs>
        <w:ind w:left="9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0" w15:restartNumberingAfterBreak="0">
    <w:nsid w:val="7BD44B98"/>
    <w:multiLevelType w:val="singleLevel"/>
    <w:tmpl w:val="71184148"/>
    <w:lvl w:ilvl="0">
      <w:start w:val="1"/>
      <w:numFmt w:val="decimal"/>
      <w:lvlText w:val="%1."/>
      <w:lvlJc w:val="left"/>
      <w:pPr>
        <w:tabs>
          <w:tab w:val="num" w:pos="360"/>
        </w:tabs>
        <w:ind w:left="0" w:firstLine="0"/>
      </w:pPr>
    </w:lvl>
  </w:abstractNum>
  <w:num w:numId="1">
    <w:abstractNumId w:val="9"/>
  </w:num>
  <w:num w:numId="2">
    <w:abstractNumId w:val="9"/>
  </w:num>
  <w:num w:numId="3">
    <w:abstractNumId w:val="9"/>
  </w:num>
  <w:num w:numId="4">
    <w:abstractNumId w:val="9"/>
  </w:num>
  <w:num w:numId="5">
    <w:abstractNumId w:val="0"/>
  </w:num>
  <w:num w:numId="6">
    <w:abstractNumId w:val="8"/>
  </w:num>
  <w:num w:numId="7">
    <w:abstractNumId w:val="8"/>
    <w:lvlOverride w:ilvl="0">
      <w:startOverride w:val="1"/>
    </w:lvlOverride>
  </w:num>
  <w:num w:numId="8">
    <w:abstractNumId w:val="1"/>
  </w:num>
  <w:num w:numId="9">
    <w:abstractNumId w:val="2"/>
  </w:num>
  <w:num w:numId="10">
    <w:abstractNumId w:val="5"/>
  </w:num>
  <w:num w:numId="11">
    <w:abstractNumId w:val="7"/>
  </w:num>
  <w:num w:numId="12">
    <w:abstractNumId w:val="10"/>
  </w:num>
  <w:num w:numId="13">
    <w:abstractNumId w:val="3"/>
  </w:num>
  <w:num w:numId="14">
    <w:abstractNumId w:val="4"/>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9"/>
  </w:num>
  <w:num w:numId="18">
    <w:abstractNumId w:val="1"/>
  </w:num>
  <w:num w:numId="19">
    <w:abstractNumId w:val="1"/>
  </w:num>
  <w:num w:numId="20">
    <w:abstractNumId w:val="1"/>
  </w:num>
  <w:num w:numId="21">
    <w:abstractNumId w:val="9"/>
  </w:num>
  <w:num w:numId="22">
    <w:abstractNumId w:val="1"/>
  </w:num>
  <w:num w:numId="23">
    <w:abstractNumId w:val="1"/>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fr-FR"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31D6"/>
    <w:rsid w:val="000109BC"/>
    <w:rsid w:val="00010B6D"/>
    <w:rsid w:val="000153C8"/>
    <w:rsid w:val="0002201C"/>
    <w:rsid w:val="00024543"/>
    <w:rsid w:val="000246CF"/>
    <w:rsid w:val="00025D14"/>
    <w:rsid w:val="000303F9"/>
    <w:rsid w:val="000351FE"/>
    <w:rsid w:val="00035D71"/>
    <w:rsid w:val="0003693A"/>
    <w:rsid w:val="000372DF"/>
    <w:rsid w:val="00040455"/>
    <w:rsid w:val="00043E63"/>
    <w:rsid w:val="00051FDA"/>
    <w:rsid w:val="0005527D"/>
    <w:rsid w:val="0006086E"/>
    <w:rsid w:val="000734D4"/>
    <w:rsid w:val="0007759C"/>
    <w:rsid w:val="00077D4A"/>
    <w:rsid w:val="00077E16"/>
    <w:rsid w:val="000812EE"/>
    <w:rsid w:val="00084FD4"/>
    <w:rsid w:val="00086EEC"/>
    <w:rsid w:val="000A2C1F"/>
    <w:rsid w:val="000B08DD"/>
    <w:rsid w:val="000B1952"/>
    <w:rsid w:val="000B2055"/>
    <w:rsid w:val="000B361D"/>
    <w:rsid w:val="000B672D"/>
    <w:rsid w:val="000C1AB7"/>
    <w:rsid w:val="000D37BC"/>
    <w:rsid w:val="00102461"/>
    <w:rsid w:val="0010284A"/>
    <w:rsid w:val="00112BCA"/>
    <w:rsid w:val="00113F66"/>
    <w:rsid w:val="00121FAF"/>
    <w:rsid w:val="00122BE7"/>
    <w:rsid w:val="00122F98"/>
    <w:rsid w:val="001235AD"/>
    <w:rsid w:val="00125FB0"/>
    <w:rsid w:val="00133914"/>
    <w:rsid w:val="001341E9"/>
    <w:rsid w:val="00154E6C"/>
    <w:rsid w:val="00157966"/>
    <w:rsid w:val="00160493"/>
    <w:rsid w:val="0016685F"/>
    <w:rsid w:val="00174B6F"/>
    <w:rsid w:val="00180637"/>
    <w:rsid w:val="00185856"/>
    <w:rsid w:val="0018603B"/>
    <w:rsid w:val="0019238E"/>
    <w:rsid w:val="00197CDC"/>
    <w:rsid w:val="001A1A05"/>
    <w:rsid w:val="001A2666"/>
    <w:rsid w:val="001A33C4"/>
    <w:rsid w:val="001B075E"/>
    <w:rsid w:val="001B3DD2"/>
    <w:rsid w:val="001C0F30"/>
    <w:rsid w:val="001C3237"/>
    <w:rsid w:val="001C3E45"/>
    <w:rsid w:val="001C576B"/>
    <w:rsid w:val="001C7815"/>
    <w:rsid w:val="001D33C3"/>
    <w:rsid w:val="001E5B31"/>
    <w:rsid w:val="001E7145"/>
    <w:rsid w:val="001F7869"/>
    <w:rsid w:val="00206B31"/>
    <w:rsid w:val="00216059"/>
    <w:rsid w:val="00216928"/>
    <w:rsid w:val="00221DF6"/>
    <w:rsid w:val="00224070"/>
    <w:rsid w:val="002333E3"/>
    <w:rsid w:val="002372C7"/>
    <w:rsid w:val="002406EE"/>
    <w:rsid w:val="002459F1"/>
    <w:rsid w:val="00272803"/>
    <w:rsid w:val="00275A14"/>
    <w:rsid w:val="002868A2"/>
    <w:rsid w:val="002A136F"/>
    <w:rsid w:val="002A13B9"/>
    <w:rsid w:val="002A1501"/>
    <w:rsid w:val="002A1F6E"/>
    <w:rsid w:val="002A2684"/>
    <w:rsid w:val="002A5599"/>
    <w:rsid w:val="002A5BB7"/>
    <w:rsid w:val="002B1849"/>
    <w:rsid w:val="002B4A62"/>
    <w:rsid w:val="002B5C4C"/>
    <w:rsid w:val="002C2B5C"/>
    <w:rsid w:val="002C352E"/>
    <w:rsid w:val="002C7828"/>
    <w:rsid w:val="002D31CC"/>
    <w:rsid w:val="002D4DFF"/>
    <w:rsid w:val="002D78C1"/>
    <w:rsid w:val="002E2E98"/>
    <w:rsid w:val="002F10F9"/>
    <w:rsid w:val="002F5A55"/>
    <w:rsid w:val="00300702"/>
    <w:rsid w:val="003022E7"/>
    <w:rsid w:val="00303967"/>
    <w:rsid w:val="0032034E"/>
    <w:rsid w:val="00321204"/>
    <w:rsid w:val="0032521D"/>
    <w:rsid w:val="00327D9C"/>
    <w:rsid w:val="00334FC6"/>
    <w:rsid w:val="00351071"/>
    <w:rsid w:val="003540D9"/>
    <w:rsid w:val="003631D6"/>
    <w:rsid w:val="0036472C"/>
    <w:rsid w:val="003650C7"/>
    <w:rsid w:val="003651C5"/>
    <w:rsid w:val="003812A8"/>
    <w:rsid w:val="003831E2"/>
    <w:rsid w:val="0039272C"/>
    <w:rsid w:val="003931A6"/>
    <w:rsid w:val="00395D24"/>
    <w:rsid w:val="003A3087"/>
    <w:rsid w:val="003B45AE"/>
    <w:rsid w:val="003B462A"/>
    <w:rsid w:val="003B4DE4"/>
    <w:rsid w:val="003C0BBA"/>
    <w:rsid w:val="003C3480"/>
    <w:rsid w:val="003D2AE7"/>
    <w:rsid w:val="003D3EF8"/>
    <w:rsid w:val="003D662D"/>
    <w:rsid w:val="003E19B0"/>
    <w:rsid w:val="003E1BD1"/>
    <w:rsid w:val="003E3C10"/>
    <w:rsid w:val="003E603C"/>
    <w:rsid w:val="003F6993"/>
    <w:rsid w:val="003F7243"/>
    <w:rsid w:val="003F750D"/>
    <w:rsid w:val="0040087E"/>
    <w:rsid w:val="004024D3"/>
    <w:rsid w:val="00406B9A"/>
    <w:rsid w:val="004100A4"/>
    <w:rsid w:val="00410FBD"/>
    <w:rsid w:val="00413974"/>
    <w:rsid w:val="004249C4"/>
    <w:rsid w:val="0043418F"/>
    <w:rsid w:val="004447BF"/>
    <w:rsid w:val="00454989"/>
    <w:rsid w:val="00456EF9"/>
    <w:rsid w:val="004604C9"/>
    <w:rsid w:val="00464AF6"/>
    <w:rsid w:val="0046587C"/>
    <w:rsid w:val="00466C38"/>
    <w:rsid w:val="00467EB3"/>
    <w:rsid w:val="004877E8"/>
    <w:rsid w:val="004915DE"/>
    <w:rsid w:val="00492A8C"/>
    <w:rsid w:val="00495BAC"/>
    <w:rsid w:val="004B10F4"/>
    <w:rsid w:val="004B199E"/>
    <w:rsid w:val="004C1EE1"/>
    <w:rsid w:val="004C36D0"/>
    <w:rsid w:val="004C7052"/>
    <w:rsid w:val="004D7ACA"/>
    <w:rsid w:val="004E45A5"/>
    <w:rsid w:val="004F0AF3"/>
    <w:rsid w:val="004F34E4"/>
    <w:rsid w:val="004F6133"/>
    <w:rsid w:val="00506C44"/>
    <w:rsid w:val="00513E7D"/>
    <w:rsid w:val="0051449B"/>
    <w:rsid w:val="005206B8"/>
    <w:rsid w:val="0052135F"/>
    <w:rsid w:val="005216A0"/>
    <w:rsid w:val="00521B8B"/>
    <w:rsid w:val="00523E00"/>
    <w:rsid w:val="00524F99"/>
    <w:rsid w:val="005253D1"/>
    <w:rsid w:val="00530CE0"/>
    <w:rsid w:val="005320B3"/>
    <w:rsid w:val="005338FC"/>
    <w:rsid w:val="00556846"/>
    <w:rsid w:val="00561B31"/>
    <w:rsid w:val="00580522"/>
    <w:rsid w:val="0058208E"/>
    <w:rsid w:val="005977AC"/>
    <w:rsid w:val="005A4B58"/>
    <w:rsid w:val="005B35DB"/>
    <w:rsid w:val="005B5133"/>
    <w:rsid w:val="005C4946"/>
    <w:rsid w:val="005D5872"/>
    <w:rsid w:val="005F1EE2"/>
    <w:rsid w:val="00601A1C"/>
    <w:rsid w:val="006043CC"/>
    <w:rsid w:val="0060718C"/>
    <w:rsid w:val="006110FA"/>
    <w:rsid w:val="0061503F"/>
    <w:rsid w:val="0062220A"/>
    <w:rsid w:val="00624115"/>
    <w:rsid w:val="00626450"/>
    <w:rsid w:val="006269EF"/>
    <w:rsid w:val="006303B6"/>
    <w:rsid w:val="0063533F"/>
    <w:rsid w:val="00640C89"/>
    <w:rsid w:val="00644E22"/>
    <w:rsid w:val="00652618"/>
    <w:rsid w:val="006734A1"/>
    <w:rsid w:val="00680DE9"/>
    <w:rsid w:val="00681055"/>
    <w:rsid w:val="0068584D"/>
    <w:rsid w:val="00687E13"/>
    <w:rsid w:val="006960A0"/>
    <w:rsid w:val="006964AB"/>
    <w:rsid w:val="006B7E7A"/>
    <w:rsid w:val="006D334C"/>
    <w:rsid w:val="006D7CE6"/>
    <w:rsid w:val="006E2930"/>
    <w:rsid w:val="006E6444"/>
    <w:rsid w:val="006F13D7"/>
    <w:rsid w:val="006F4F96"/>
    <w:rsid w:val="006F5BEF"/>
    <w:rsid w:val="0070475E"/>
    <w:rsid w:val="00706606"/>
    <w:rsid w:val="00714225"/>
    <w:rsid w:val="007200F7"/>
    <w:rsid w:val="00721B8B"/>
    <w:rsid w:val="00722495"/>
    <w:rsid w:val="0072348A"/>
    <w:rsid w:val="00726C07"/>
    <w:rsid w:val="00730E0A"/>
    <w:rsid w:val="00733F7B"/>
    <w:rsid w:val="0073734F"/>
    <w:rsid w:val="00737498"/>
    <w:rsid w:val="00740C65"/>
    <w:rsid w:val="00744E3A"/>
    <w:rsid w:val="00760466"/>
    <w:rsid w:val="007638E3"/>
    <w:rsid w:val="0077387F"/>
    <w:rsid w:val="00774776"/>
    <w:rsid w:val="00776346"/>
    <w:rsid w:val="00776CAD"/>
    <w:rsid w:val="00782555"/>
    <w:rsid w:val="00793918"/>
    <w:rsid w:val="007A4620"/>
    <w:rsid w:val="007A62C2"/>
    <w:rsid w:val="007E3CF9"/>
    <w:rsid w:val="007E415A"/>
    <w:rsid w:val="007E73FC"/>
    <w:rsid w:val="007F0470"/>
    <w:rsid w:val="007F1F21"/>
    <w:rsid w:val="007F2651"/>
    <w:rsid w:val="007F3F59"/>
    <w:rsid w:val="007F5B16"/>
    <w:rsid w:val="00802A44"/>
    <w:rsid w:val="00824E79"/>
    <w:rsid w:val="00831B62"/>
    <w:rsid w:val="00842229"/>
    <w:rsid w:val="008439DC"/>
    <w:rsid w:val="008529F3"/>
    <w:rsid w:val="00856D6A"/>
    <w:rsid w:val="0086142B"/>
    <w:rsid w:val="00864A80"/>
    <w:rsid w:val="008728BD"/>
    <w:rsid w:val="00875F98"/>
    <w:rsid w:val="00886F78"/>
    <w:rsid w:val="008875CF"/>
    <w:rsid w:val="00894D13"/>
    <w:rsid w:val="00896CE7"/>
    <w:rsid w:val="008A1D27"/>
    <w:rsid w:val="008A2BDB"/>
    <w:rsid w:val="008A32FD"/>
    <w:rsid w:val="008D3357"/>
    <w:rsid w:val="008D40FD"/>
    <w:rsid w:val="008D475E"/>
    <w:rsid w:val="008D4901"/>
    <w:rsid w:val="008D502D"/>
    <w:rsid w:val="008D6279"/>
    <w:rsid w:val="008E7B16"/>
    <w:rsid w:val="008F66B2"/>
    <w:rsid w:val="0090021D"/>
    <w:rsid w:val="0090260B"/>
    <w:rsid w:val="00907893"/>
    <w:rsid w:val="00915341"/>
    <w:rsid w:val="00922BBE"/>
    <w:rsid w:val="00924594"/>
    <w:rsid w:val="00941BDD"/>
    <w:rsid w:val="00946957"/>
    <w:rsid w:val="00946BC2"/>
    <w:rsid w:val="0095019D"/>
    <w:rsid w:val="009526EF"/>
    <w:rsid w:val="00953BC7"/>
    <w:rsid w:val="00960A9F"/>
    <w:rsid w:val="009615C3"/>
    <w:rsid w:val="00962E2C"/>
    <w:rsid w:val="00967322"/>
    <w:rsid w:val="00970E5F"/>
    <w:rsid w:val="00975C35"/>
    <w:rsid w:val="009761B6"/>
    <w:rsid w:val="0098546E"/>
    <w:rsid w:val="00995C05"/>
    <w:rsid w:val="009967C0"/>
    <w:rsid w:val="00997A32"/>
    <w:rsid w:val="009A287F"/>
    <w:rsid w:val="009A4D19"/>
    <w:rsid w:val="009A5528"/>
    <w:rsid w:val="009B1C63"/>
    <w:rsid w:val="009B4FE3"/>
    <w:rsid w:val="009B61FA"/>
    <w:rsid w:val="009B66A3"/>
    <w:rsid w:val="009D2479"/>
    <w:rsid w:val="009D36F5"/>
    <w:rsid w:val="009E1F6E"/>
    <w:rsid w:val="009E33F8"/>
    <w:rsid w:val="00A0653C"/>
    <w:rsid w:val="00A07B85"/>
    <w:rsid w:val="00A1344E"/>
    <w:rsid w:val="00A1709B"/>
    <w:rsid w:val="00A261C2"/>
    <w:rsid w:val="00A311CA"/>
    <w:rsid w:val="00A3547D"/>
    <w:rsid w:val="00A51BDC"/>
    <w:rsid w:val="00A56180"/>
    <w:rsid w:val="00A61759"/>
    <w:rsid w:val="00A63BE1"/>
    <w:rsid w:val="00A70D6C"/>
    <w:rsid w:val="00A71A52"/>
    <w:rsid w:val="00A71D55"/>
    <w:rsid w:val="00A76DBC"/>
    <w:rsid w:val="00A8582A"/>
    <w:rsid w:val="00A86032"/>
    <w:rsid w:val="00A910E1"/>
    <w:rsid w:val="00A95D19"/>
    <w:rsid w:val="00AB3F80"/>
    <w:rsid w:val="00AC447F"/>
    <w:rsid w:val="00AC582F"/>
    <w:rsid w:val="00AC68B2"/>
    <w:rsid w:val="00AC6CC0"/>
    <w:rsid w:val="00AC7C10"/>
    <w:rsid w:val="00AD2456"/>
    <w:rsid w:val="00AD3AF7"/>
    <w:rsid w:val="00AD7481"/>
    <w:rsid w:val="00AE2D8B"/>
    <w:rsid w:val="00AE3A69"/>
    <w:rsid w:val="00AF0C1B"/>
    <w:rsid w:val="00AF0C60"/>
    <w:rsid w:val="00AF1BD4"/>
    <w:rsid w:val="00B00BD0"/>
    <w:rsid w:val="00B13E74"/>
    <w:rsid w:val="00B1425F"/>
    <w:rsid w:val="00B142A0"/>
    <w:rsid w:val="00B16C4B"/>
    <w:rsid w:val="00B16D02"/>
    <w:rsid w:val="00B27F0B"/>
    <w:rsid w:val="00B401DC"/>
    <w:rsid w:val="00B42FAC"/>
    <w:rsid w:val="00B44A1C"/>
    <w:rsid w:val="00B62CC6"/>
    <w:rsid w:val="00B6474D"/>
    <w:rsid w:val="00B66100"/>
    <w:rsid w:val="00B7241C"/>
    <w:rsid w:val="00B76D44"/>
    <w:rsid w:val="00B832D8"/>
    <w:rsid w:val="00B844F6"/>
    <w:rsid w:val="00B85FF4"/>
    <w:rsid w:val="00B8682A"/>
    <w:rsid w:val="00B86FEE"/>
    <w:rsid w:val="00BA39BF"/>
    <w:rsid w:val="00BB0DB3"/>
    <w:rsid w:val="00BB22CB"/>
    <w:rsid w:val="00BB7DC3"/>
    <w:rsid w:val="00BC059E"/>
    <w:rsid w:val="00BC60C4"/>
    <w:rsid w:val="00BD2206"/>
    <w:rsid w:val="00BD33FA"/>
    <w:rsid w:val="00BE0046"/>
    <w:rsid w:val="00BE0280"/>
    <w:rsid w:val="00BE139B"/>
    <w:rsid w:val="00BE3E9C"/>
    <w:rsid w:val="00BE4A6E"/>
    <w:rsid w:val="00BE7FB1"/>
    <w:rsid w:val="00BF6840"/>
    <w:rsid w:val="00C0386F"/>
    <w:rsid w:val="00C06963"/>
    <w:rsid w:val="00C15F39"/>
    <w:rsid w:val="00C15FDF"/>
    <w:rsid w:val="00C16B6A"/>
    <w:rsid w:val="00C36161"/>
    <w:rsid w:val="00C36761"/>
    <w:rsid w:val="00C36B6E"/>
    <w:rsid w:val="00C454FD"/>
    <w:rsid w:val="00C5137C"/>
    <w:rsid w:val="00C524C5"/>
    <w:rsid w:val="00C766B6"/>
    <w:rsid w:val="00C86CE2"/>
    <w:rsid w:val="00C9241C"/>
    <w:rsid w:val="00C977E4"/>
    <w:rsid w:val="00CA24F5"/>
    <w:rsid w:val="00CB16CA"/>
    <w:rsid w:val="00CD05D3"/>
    <w:rsid w:val="00CD3327"/>
    <w:rsid w:val="00CD495C"/>
    <w:rsid w:val="00CD4CAC"/>
    <w:rsid w:val="00CD78C8"/>
    <w:rsid w:val="00CE0913"/>
    <w:rsid w:val="00CE4AB0"/>
    <w:rsid w:val="00CE4F0B"/>
    <w:rsid w:val="00CF75A0"/>
    <w:rsid w:val="00D0614C"/>
    <w:rsid w:val="00D0672D"/>
    <w:rsid w:val="00D07E3B"/>
    <w:rsid w:val="00D10BD6"/>
    <w:rsid w:val="00D12B94"/>
    <w:rsid w:val="00D1684D"/>
    <w:rsid w:val="00D213B6"/>
    <w:rsid w:val="00D3306C"/>
    <w:rsid w:val="00D33467"/>
    <w:rsid w:val="00D358A5"/>
    <w:rsid w:val="00D47E57"/>
    <w:rsid w:val="00D553BB"/>
    <w:rsid w:val="00D670DC"/>
    <w:rsid w:val="00D807AF"/>
    <w:rsid w:val="00D8137B"/>
    <w:rsid w:val="00D925BC"/>
    <w:rsid w:val="00DA6854"/>
    <w:rsid w:val="00DB06A7"/>
    <w:rsid w:val="00DB07B1"/>
    <w:rsid w:val="00DB41E1"/>
    <w:rsid w:val="00DC07C1"/>
    <w:rsid w:val="00DC7967"/>
    <w:rsid w:val="00DD4E1C"/>
    <w:rsid w:val="00DD5C04"/>
    <w:rsid w:val="00DD78C3"/>
    <w:rsid w:val="00DD7CDB"/>
    <w:rsid w:val="00DE059A"/>
    <w:rsid w:val="00DF2639"/>
    <w:rsid w:val="00DF6CCA"/>
    <w:rsid w:val="00E02564"/>
    <w:rsid w:val="00E0317C"/>
    <w:rsid w:val="00E0440D"/>
    <w:rsid w:val="00E061DD"/>
    <w:rsid w:val="00E12B0D"/>
    <w:rsid w:val="00E13A7C"/>
    <w:rsid w:val="00E21E55"/>
    <w:rsid w:val="00E3190D"/>
    <w:rsid w:val="00E41D0F"/>
    <w:rsid w:val="00E42ED9"/>
    <w:rsid w:val="00E505DE"/>
    <w:rsid w:val="00E76934"/>
    <w:rsid w:val="00E93378"/>
    <w:rsid w:val="00E9719F"/>
    <w:rsid w:val="00EA0BCE"/>
    <w:rsid w:val="00EA281E"/>
    <w:rsid w:val="00EA422F"/>
    <w:rsid w:val="00EC1C30"/>
    <w:rsid w:val="00EC59B7"/>
    <w:rsid w:val="00EC7F6C"/>
    <w:rsid w:val="00ED02A8"/>
    <w:rsid w:val="00ED24BB"/>
    <w:rsid w:val="00ED472C"/>
    <w:rsid w:val="00ED7CD6"/>
    <w:rsid w:val="00EE29CE"/>
    <w:rsid w:val="00EE2AD6"/>
    <w:rsid w:val="00EE2E79"/>
    <w:rsid w:val="00EE6044"/>
    <w:rsid w:val="00EE69DD"/>
    <w:rsid w:val="00EF399E"/>
    <w:rsid w:val="00EF3FC6"/>
    <w:rsid w:val="00F006CB"/>
    <w:rsid w:val="00F118B8"/>
    <w:rsid w:val="00F130EE"/>
    <w:rsid w:val="00F33244"/>
    <w:rsid w:val="00F436CC"/>
    <w:rsid w:val="00F504FF"/>
    <w:rsid w:val="00F533B1"/>
    <w:rsid w:val="00F56DCC"/>
    <w:rsid w:val="00F57B2B"/>
    <w:rsid w:val="00F60381"/>
    <w:rsid w:val="00F65FC2"/>
    <w:rsid w:val="00F73775"/>
    <w:rsid w:val="00F751CB"/>
    <w:rsid w:val="00F75703"/>
    <w:rsid w:val="00FA07AA"/>
    <w:rsid w:val="00FA100A"/>
    <w:rsid w:val="00FA50B5"/>
    <w:rsid w:val="00FC41F2"/>
    <w:rsid w:val="00FD6764"/>
    <w:rsid w:val="00FE5DE5"/>
    <w:rsid w:val="00FE7F1D"/>
    <w:rsid w:val="00FF02A0"/>
    <w:rsid w:val="00FF4A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6145"/>
    <o:shapelayout v:ext="edit">
      <o:idmap v:ext="edit" data="1"/>
    </o:shapelayout>
  </w:shapeDefaults>
  <w:decimalSymbol w:val="."/>
  <w:listSeparator w:val=","/>
  <w14:docId w14:val="74CB4FD3"/>
  <w15:docId w15:val="{DD0FF324-0201-4191-89EE-AD3EB014C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napToGrid w:val="0"/>
      <w:sz w:val="24"/>
    </w:rPr>
  </w:style>
  <w:style w:type="paragraph" w:styleId="Heading1">
    <w:name w:val="heading 1"/>
    <w:basedOn w:val="Normal"/>
    <w:next w:val="BodyText"/>
    <w:qFormat/>
    <w:rsid w:val="00CD78C8"/>
    <w:pPr>
      <w:keepNext/>
      <w:numPr>
        <w:numId w:val="1"/>
      </w:numPr>
      <w:spacing w:before="480" w:after="120"/>
      <w:jc w:val="center"/>
      <w:outlineLvl w:val="0"/>
    </w:pPr>
    <w:rPr>
      <w:b/>
      <w:szCs w:val="24"/>
    </w:rPr>
  </w:style>
  <w:style w:type="paragraph" w:styleId="Heading2">
    <w:name w:val="heading 2"/>
    <w:basedOn w:val="Normal"/>
    <w:next w:val="BodyText"/>
    <w:qFormat/>
    <w:rsid w:val="00CD78C8"/>
    <w:pPr>
      <w:keepNext/>
      <w:numPr>
        <w:ilvl w:val="1"/>
        <w:numId w:val="1"/>
      </w:numPr>
      <w:spacing w:before="360" w:after="120"/>
      <w:jc w:val="center"/>
      <w:outlineLvl w:val="1"/>
    </w:pPr>
    <w:rPr>
      <w:b/>
      <w:szCs w:val="24"/>
    </w:rPr>
  </w:style>
  <w:style w:type="paragraph" w:styleId="Heading3">
    <w:name w:val="heading 3"/>
    <w:basedOn w:val="Normal"/>
    <w:next w:val="BodyText"/>
    <w:qFormat/>
    <w:rsid w:val="00CD78C8"/>
    <w:pPr>
      <w:keepNext/>
      <w:numPr>
        <w:ilvl w:val="2"/>
        <w:numId w:val="1"/>
      </w:numPr>
      <w:spacing w:before="240" w:after="120"/>
      <w:outlineLvl w:val="2"/>
    </w:pPr>
    <w:rPr>
      <w:b/>
      <w:szCs w:val="24"/>
    </w:rPr>
  </w:style>
  <w:style w:type="paragraph" w:styleId="Heading4">
    <w:name w:val="heading 4"/>
    <w:basedOn w:val="Normal"/>
    <w:next w:val="BodyText"/>
    <w:qFormat/>
    <w:rsid w:val="00CD78C8"/>
    <w:pPr>
      <w:keepNext/>
      <w:numPr>
        <w:ilvl w:val="3"/>
        <w:numId w:val="1"/>
      </w:numPr>
      <w:tabs>
        <w:tab w:val="clear" w:pos="450"/>
        <w:tab w:val="num" w:pos="360"/>
      </w:tabs>
      <w:spacing w:before="240" w:after="120"/>
      <w:ind w:left="0"/>
      <w:outlineLvl w:val="3"/>
    </w:pPr>
    <w:rPr>
      <w:b/>
      <w:szCs w:val="24"/>
    </w:rPr>
  </w:style>
  <w:style w:type="paragraph" w:styleId="Heading5">
    <w:name w:val="heading 5"/>
    <w:basedOn w:val="Normal"/>
    <w:next w:val="BodyText"/>
    <w:qFormat/>
    <w:rsid w:val="00CD78C8"/>
    <w:pPr>
      <w:keepNext/>
      <w:numPr>
        <w:ilvl w:val="4"/>
        <w:numId w:val="9"/>
      </w:numPr>
      <w:spacing w:before="240" w:after="60"/>
      <w:outlineLvl w:val="4"/>
    </w:pPr>
    <w:rPr>
      <w:b/>
      <w:sz w:val="22"/>
      <w:szCs w:val="22"/>
    </w:rPr>
  </w:style>
  <w:style w:type="paragraph" w:styleId="Heading6">
    <w:name w:val="heading 6"/>
    <w:aliases w:val="FOF or COL Subheading"/>
    <w:basedOn w:val="Normal"/>
    <w:next w:val="FOFCOL"/>
    <w:qFormat/>
    <w:rsid w:val="008D3357"/>
    <w:pPr>
      <w:keepNext/>
      <w:spacing w:before="240" w:after="60"/>
      <w:outlineLvl w:val="5"/>
    </w:pPr>
    <w:rPr>
      <w:b/>
      <w:i/>
      <w:sz w:val="22"/>
      <w:szCs w:val="22"/>
      <w:u w:val="single"/>
    </w:rPr>
  </w:style>
  <w:style w:type="paragraph" w:styleId="Heading7">
    <w:name w:val="heading 7"/>
    <w:basedOn w:val="Normal"/>
    <w:link w:val="Heading7Char"/>
    <w:qFormat/>
    <w:rsid w:val="003631D6"/>
    <w:pPr>
      <w:keepNext/>
      <w:tabs>
        <w:tab w:val="num" w:pos="1440"/>
      </w:tabs>
      <w:spacing w:after="240"/>
      <w:ind w:left="1440" w:hanging="720"/>
      <w:jc w:val="both"/>
      <w:outlineLvl w:val="6"/>
    </w:pPr>
    <w:rPr>
      <w:b/>
      <w:i/>
      <w:snapToGrid/>
      <w:szCs w:val="24"/>
      <w:u w:val="single"/>
    </w:rPr>
  </w:style>
  <w:style w:type="paragraph" w:styleId="Heading8">
    <w:name w:val="heading 8"/>
    <w:basedOn w:val="Normal"/>
    <w:link w:val="Heading8Char"/>
    <w:qFormat/>
    <w:rsid w:val="003631D6"/>
    <w:pPr>
      <w:tabs>
        <w:tab w:val="num" w:pos="1440"/>
      </w:tabs>
      <w:spacing w:after="240"/>
      <w:ind w:firstLine="720"/>
      <w:jc w:val="both"/>
      <w:outlineLvl w:val="7"/>
    </w:pPr>
    <w:rPr>
      <w:iCs/>
      <w:snapToGrid/>
      <w:szCs w:val="24"/>
    </w:rPr>
  </w:style>
  <w:style w:type="paragraph" w:styleId="Heading9">
    <w:name w:val="heading 9"/>
    <w:basedOn w:val="Normal"/>
    <w:link w:val="Heading9Char"/>
    <w:qFormat/>
    <w:rsid w:val="003631D6"/>
    <w:pPr>
      <w:tabs>
        <w:tab w:val="num" w:pos="1440"/>
      </w:tabs>
      <w:spacing w:after="240"/>
      <w:ind w:firstLine="720"/>
      <w:jc w:val="both"/>
      <w:outlineLvl w:val="8"/>
    </w:pPr>
    <w:rPr>
      <w:b/>
      <w:snapToGrid/>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1"/>
    <w:pPr>
      <w:spacing w:before="120" w:line="360" w:lineRule="auto"/>
      <w:ind w:firstLine="720"/>
      <w:jc w:val="both"/>
    </w:pPr>
  </w:style>
  <w:style w:type="paragraph" w:customStyle="1" w:styleId="TitleFront">
    <w:name w:val="TitleFront"/>
    <w:basedOn w:val="Title"/>
    <w:rsid w:val="006E2930"/>
  </w:style>
  <w:style w:type="paragraph" w:customStyle="1" w:styleId="FOFCOL">
    <w:name w:val="FOF/COL"/>
    <w:basedOn w:val="BodyText"/>
    <w:link w:val="FOFCOLChar"/>
    <w:pPr>
      <w:ind w:left="720" w:hanging="720"/>
    </w:pPr>
  </w:style>
  <w:style w:type="paragraph" w:styleId="Footer">
    <w:name w:val="footer"/>
    <w:basedOn w:val="Normal"/>
    <w:pPr>
      <w:widowControl w:val="0"/>
      <w:tabs>
        <w:tab w:val="center" w:pos="4320"/>
        <w:tab w:val="right" w:pos="8640"/>
      </w:tabs>
    </w:pPr>
  </w:style>
  <w:style w:type="character" w:styleId="FootnoteReference">
    <w:name w:val="footnote reference"/>
    <w:uiPriority w:val="99"/>
    <w:semiHidden/>
    <w:rPr>
      <w:vertAlign w:val="superscript"/>
    </w:rPr>
  </w:style>
  <w:style w:type="paragraph" w:styleId="FootnoteText">
    <w:name w:val="footnote text"/>
    <w:basedOn w:val="Normal"/>
    <w:link w:val="FootnoteTextChar"/>
    <w:uiPriority w:val="99"/>
    <w:semiHidden/>
    <w:pPr>
      <w:spacing w:before="120"/>
      <w:ind w:firstLine="720"/>
      <w:jc w:val="both"/>
    </w:pPr>
    <w:rPr>
      <w:sz w:val="20"/>
    </w:rPr>
  </w:style>
  <w:style w:type="paragraph" w:styleId="Header">
    <w:name w:val="header"/>
    <w:basedOn w:val="Normal"/>
    <w:pPr>
      <w:widowControl w:val="0"/>
      <w:tabs>
        <w:tab w:val="center" w:pos="4320"/>
        <w:tab w:val="right" w:pos="8640"/>
      </w:tabs>
    </w:pPr>
    <w:rPr>
      <w:b/>
      <w:sz w:val="20"/>
    </w:rPr>
  </w:style>
  <w:style w:type="character" w:styleId="PageNumber">
    <w:name w:val="page number"/>
    <w:basedOn w:val="DefaultParagraphFont"/>
  </w:style>
  <w:style w:type="paragraph" w:styleId="Title">
    <w:name w:val="Title"/>
    <w:basedOn w:val="Normal"/>
    <w:qFormat/>
    <w:pPr>
      <w:spacing w:before="480" w:after="480"/>
      <w:jc w:val="center"/>
    </w:pPr>
    <w:rPr>
      <w:b/>
    </w:rPr>
  </w:style>
  <w:style w:type="paragraph" w:styleId="TOC1">
    <w:name w:val="toc 1"/>
    <w:basedOn w:val="Normal"/>
    <w:next w:val="Normal"/>
    <w:autoRedefine/>
    <w:uiPriority w:val="39"/>
    <w:pPr>
      <w:spacing w:before="360"/>
    </w:pPr>
    <w:rPr>
      <w:rFonts w:asciiTheme="majorHAnsi" w:hAnsiTheme="majorHAnsi"/>
      <w:b/>
      <w:bCs/>
      <w:caps/>
      <w:szCs w:val="24"/>
    </w:rPr>
  </w:style>
  <w:style w:type="paragraph" w:styleId="TOC2">
    <w:name w:val="toc 2"/>
    <w:basedOn w:val="Normal"/>
    <w:next w:val="Normal"/>
    <w:autoRedefine/>
    <w:uiPriority w:val="39"/>
    <w:pPr>
      <w:spacing w:before="240"/>
    </w:pPr>
    <w:rPr>
      <w:rFonts w:asciiTheme="minorHAnsi" w:hAnsiTheme="minorHAnsi"/>
      <w:b/>
      <w:bCs/>
      <w:sz w:val="20"/>
    </w:rPr>
  </w:style>
  <w:style w:type="paragraph" w:styleId="TOC3">
    <w:name w:val="toc 3"/>
    <w:basedOn w:val="Normal"/>
    <w:next w:val="Normal"/>
    <w:autoRedefine/>
    <w:uiPriority w:val="39"/>
    <w:rsid w:val="00F751CB"/>
    <w:pPr>
      <w:ind w:left="240"/>
    </w:pPr>
    <w:rPr>
      <w:rFonts w:asciiTheme="minorHAnsi" w:hAnsiTheme="minorHAnsi"/>
      <w:sz w:val="20"/>
    </w:rPr>
  </w:style>
  <w:style w:type="paragraph" w:styleId="TOC4">
    <w:name w:val="toc 4"/>
    <w:basedOn w:val="Normal"/>
    <w:next w:val="Normal"/>
    <w:autoRedefine/>
    <w:semiHidden/>
    <w:pPr>
      <w:ind w:left="480"/>
    </w:pPr>
    <w:rPr>
      <w:rFonts w:asciiTheme="minorHAnsi" w:hAnsiTheme="minorHAnsi"/>
      <w:sz w:val="20"/>
    </w:rPr>
  </w:style>
  <w:style w:type="paragraph" w:styleId="TOC5">
    <w:name w:val="toc 5"/>
    <w:basedOn w:val="Normal"/>
    <w:next w:val="Normal"/>
    <w:autoRedefine/>
    <w:semiHidden/>
    <w:pPr>
      <w:ind w:left="720"/>
    </w:pPr>
    <w:rPr>
      <w:rFonts w:asciiTheme="minorHAnsi" w:hAnsiTheme="minorHAnsi"/>
      <w:sz w:val="20"/>
    </w:rPr>
  </w:style>
  <w:style w:type="paragraph" w:styleId="TOC6">
    <w:name w:val="toc 6"/>
    <w:basedOn w:val="Normal"/>
    <w:next w:val="Normal"/>
    <w:autoRedefine/>
    <w:semiHidden/>
    <w:pPr>
      <w:ind w:left="960"/>
    </w:pPr>
    <w:rPr>
      <w:rFonts w:asciiTheme="minorHAnsi" w:hAnsiTheme="minorHAnsi"/>
      <w:sz w:val="20"/>
    </w:rPr>
  </w:style>
  <w:style w:type="paragraph" w:styleId="TOC7">
    <w:name w:val="toc 7"/>
    <w:basedOn w:val="Normal"/>
    <w:next w:val="Normal"/>
    <w:autoRedefine/>
    <w:semiHidden/>
    <w:pPr>
      <w:ind w:left="1200"/>
    </w:pPr>
    <w:rPr>
      <w:rFonts w:asciiTheme="minorHAnsi" w:hAnsiTheme="minorHAnsi"/>
      <w:sz w:val="20"/>
    </w:rPr>
  </w:style>
  <w:style w:type="paragraph" w:styleId="TOC8">
    <w:name w:val="toc 8"/>
    <w:basedOn w:val="Normal"/>
    <w:next w:val="Normal"/>
    <w:autoRedefine/>
    <w:semiHidden/>
    <w:pPr>
      <w:ind w:left="1440"/>
    </w:pPr>
    <w:rPr>
      <w:rFonts w:asciiTheme="minorHAnsi" w:hAnsiTheme="minorHAnsi"/>
      <w:sz w:val="20"/>
    </w:rPr>
  </w:style>
  <w:style w:type="paragraph" w:styleId="TOC9">
    <w:name w:val="toc 9"/>
    <w:basedOn w:val="Normal"/>
    <w:next w:val="Normal"/>
    <w:autoRedefine/>
    <w:semiHidden/>
    <w:pPr>
      <w:ind w:left="1680"/>
    </w:pPr>
    <w:rPr>
      <w:rFonts w:asciiTheme="minorHAnsi" w:hAnsiTheme="minorHAnsi"/>
      <w:sz w:val="20"/>
    </w:rPr>
  </w:style>
  <w:style w:type="character" w:customStyle="1" w:styleId="Heading7Char">
    <w:name w:val="Heading 7 Char"/>
    <w:basedOn w:val="DefaultParagraphFont"/>
    <w:link w:val="Heading7"/>
    <w:rsid w:val="003631D6"/>
    <w:rPr>
      <w:b/>
      <w:i/>
      <w:sz w:val="24"/>
      <w:szCs w:val="24"/>
      <w:u w:val="single"/>
    </w:rPr>
  </w:style>
  <w:style w:type="paragraph" w:customStyle="1" w:styleId="FOFNumbered">
    <w:name w:val="FOF Numbered"/>
    <w:basedOn w:val="FOFCOL"/>
    <w:link w:val="FOFNumberedChar"/>
    <w:pPr>
      <w:numPr>
        <w:numId w:val="8"/>
      </w:numPr>
    </w:pPr>
  </w:style>
  <w:style w:type="paragraph" w:customStyle="1" w:styleId="COLNumbered">
    <w:name w:val="COL Numbered"/>
    <w:basedOn w:val="FOFNumbered"/>
    <w:pPr>
      <w:numPr>
        <w:numId w:val="5"/>
      </w:numPr>
    </w:pPr>
  </w:style>
  <w:style w:type="paragraph" w:customStyle="1" w:styleId="OrderingNumbered">
    <w:name w:val="Ordering Numbered"/>
    <w:basedOn w:val="FOFNumbered"/>
    <w:pPr>
      <w:numPr>
        <w:numId w:val="6"/>
      </w:numPr>
    </w:pPr>
  </w:style>
  <w:style w:type="paragraph" w:styleId="BlockText">
    <w:name w:val="Block Text"/>
    <w:basedOn w:val="BodyText"/>
    <w:pPr>
      <w:ind w:left="1008" w:right="288" w:firstLine="0"/>
    </w:pPr>
  </w:style>
  <w:style w:type="character" w:customStyle="1" w:styleId="Heading8Char">
    <w:name w:val="Heading 8 Char"/>
    <w:basedOn w:val="DefaultParagraphFont"/>
    <w:link w:val="Heading8"/>
    <w:rsid w:val="003631D6"/>
    <w:rPr>
      <w:iCs/>
      <w:sz w:val="24"/>
      <w:szCs w:val="24"/>
    </w:rPr>
  </w:style>
  <w:style w:type="character" w:customStyle="1" w:styleId="Heading9Char">
    <w:name w:val="Heading 9 Char"/>
    <w:basedOn w:val="DefaultParagraphFont"/>
    <w:link w:val="Heading9"/>
    <w:rsid w:val="003631D6"/>
    <w:rPr>
      <w:b/>
      <w:sz w:val="24"/>
      <w:szCs w:val="22"/>
      <w:u w:val="single"/>
    </w:rPr>
  </w:style>
  <w:style w:type="character" w:customStyle="1" w:styleId="BodyTextChar">
    <w:name w:val="Body Text Char"/>
    <w:rsid w:val="003631D6"/>
    <w:rPr>
      <w:snapToGrid w:val="0"/>
      <w:sz w:val="24"/>
      <w:lang w:val="en-US" w:eastAsia="en-US" w:bidi="ar-SA"/>
    </w:rPr>
  </w:style>
  <w:style w:type="character" w:customStyle="1" w:styleId="FOFCOLChar">
    <w:name w:val="FOF/COL Char"/>
    <w:basedOn w:val="BodyTextChar"/>
    <w:link w:val="FOFCOL"/>
    <w:rsid w:val="003631D6"/>
    <w:rPr>
      <w:snapToGrid w:val="0"/>
      <w:sz w:val="24"/>
      <w:lang w:val="en-US" w:eastAsia="en-US" w:bidi="ar-SA"/>
    </w:rPr>
  </w:style>
  <w:style w:type="paragraph" w:styleId="BodyTextFirstIndent">
    <w:name w:val="Body Text First Indent"/>
    <w:basedOn w:val="BodyText"/>
    <w:link w:val="BodyTextFirstIndentChar"/>
    <w:rsid w:val="003631D6"/>
    <w:pPr>
      <w:spacing w:before="0" w:after="120" w:line="240" w:lineRule="auto"/>
      <w:ind w:firstLine="210"/>
      <w:jc w:val="left"/>
    </w:pPr>
  </w:style>
  <w:style w:type="character" w:customStyle="1" w:styleId="BodyTextChar1">
    <w:name w:val="Body Text Char1"/>
    <w:basedOn w:val="DefaultParagraphFont"/>
    <w:link w:val="BodyText"/>
    <w:rsid w:val="003631D6"/>
    <w:rPr>
      <w:snapToGrid w:val="0"/>
      <w:sz w:val="24"/>
    </w:rPr>
  </w:style>
  <w:style w:type="character" w:customStyle="1" w:styleId="BodyTextFirstIndentChar">
    <w:name w:val="Body Text First Indent Char"/>
    <w:basedOn w:val="BodyTextChar1"/>
    <w:link w:val="BodyTextFirstIndent"/>
    <w:rsid w:val="003631D6"/>
    <w:rPr>
      <w:snapToGrid w:val="0"/>
      <w:sz w:val="24"/>
    </w:rPr>
  </w:style>
  <w:style w:type="character" w:customStyle="1" w:styleId="FOFNumberedChar">
    <w:name w:val="FOF Numbered Char"/>
    <w:link w:val="FOFNumbered"/>
    <w:rsid w:val="003631D6"/>
    <w:rPr>
      <w:snapToGrid w:val="0"/>
      <w:sz w:val="24"/>
    </w:rPr>
  </w:style>
  <w:style w:type="paragraph" w:styleId="BodyText3">
    <w:name w:val="Body Text 3"/>
    <w:basedOn w:val="Normal"/>
    <w:link w:val="BodyText3Char"/>
    <w:rsid w:val="003631D6"/>
    <w:pPr>
      <w:spacing w:after="240"/>
    </w:pPr>
    <w:rPr>
      <w:snapToGrid/>
      <w:szCs w:val="24"/>
    </w:rPr>
  </w:style>
  <w:style w:type="character" w:customStyle="1" w:styleId="BodyText3Char">
    <w:name w:val="Body Text 3 Char"/>
    <w:basedOn w:val="DefaultParagraphFont"/>
    <w:link w:val="BodyText3"/>
    <w:rsid w:val="003631D6"/>
    <w:rPr>
      <w:sz w:val="24"/>
      <w:szCs w:val="24"/>
    </w:rPr>
  </w:style>
  <w:style w:type="paragraph" w:styleId="BodyTextIndent">
    <w:name w:val="Body Text Indent"/>
    <w:basedOn w:val="Normal"/>
    <w:link w:val="BodyTextIndentChar"/>
    <w:rsid w:val="003631D6"/>
    <w:pPr>
      <w:spacing w:after="240"/>
      <w:ind w:left="720"/>
    </w:pPr>
    <w:rPr>
      <w:snapToGrid/>
      <w:szCs w:val="24"/>
    </w:rPr>
  </w:style>
  <w:style w:type="character" w:customStyle="1" w:styleId="BodyTextIndentChar">
    <w:name w:val="Body Text Indent Char"/>
    <w:basedOn w:val="DefaultParagraphFont"/>
    <w:link w:val="BodyTextIndent"/>
    <w:rsid w:val="003631D6"/>
    <w:rPr>
      <w:sz w:val="24"/>
      <w:szCs w:val="24"/>
    </w:rPr>
  </w:style>
  <w:style w:type="paragraph" w:styleId="BodyTextFirstIndent2">
    <w:name w:val="Body Text First Indent 2"/>
    <w:basedOn w:val="BodyTextIndent"/>
    <w:link w:val="BodyTextFirstIndent2Char"/>
    <w:rsid w:val="003631D6"/>
    <w:pPr>
      <w:ind w:firstLine="1440"/>
    </w:pPr>
  </w:style>
  <w:style w:type="character" w:customStyle="1" w:styleId="BodyTextFirstIndent2Char">
    <w:name w:val="Body Text First Indent 2 Char"/>
    <w:basedOn w:val="BodyTextIndentChar"/>
    <w:link w:val="BodyTextFirstIndent2"/>
    <w:rsid w:val="003631D6"/>
    <w:rPr>
      <w:sz w:val="24"/>
      <w:szCs w:val="24"/>
    </w:rPr>
  </w:style>
  <w:style w:type="paragraph" w:styleId="BodyTextIndent2">
    <w:name w:val="Body Text Indent 2"/>
    <w:basedOn w:val="Normal"/>
    <w:link w:val="BodyTextIndent2Char"/>
    <w:rsid w:val="003631D6"/>
    <w:pPr>
      <w:spacing w:after="120" w:line="480" w:lineRule="auto"/>
      <w:ind w:left="720"/>
    </w:pPr>
    <w:rPr>
      <w:snapToGrid/>
      <w:szCs w:val="24"/>
    </w:rPr>
  </w:style>
  <w:style w:type="character" w:customStyle="1" w:styleId="BodyTextIndent2Char">
    <w:name w:val="Body Text Indent 2 Char"/>
    <w:basedOn w:val="DefaultParagraphFont"/>
    <w:link w:val="BodyTextIndent2"/>
    <w:uiPriority w:val="99"/>
    <w:rsid w:val="003631D6"/>
    <w:rPr>
      <w:sz w:val="24"/>
      <w:szCs w:val="24"/>
    </w:rPr>
  </w:style>
  <w:style w:type="paragraph" w:styleId="BodyTextIndent3">
    <w:name w:val="Body Text Indent 3"/>
    <w:basedOn w:val="Normal"/>
    <w:link w:val="BodyTextIndent3Char"/>
    <w:rsid w:val="003631D6"/>
    <w:pPr>
      <w:spacing w:after="240"/>
      <w:ind w:left="720"/>
    </w:pPr>
    <w:rPr>
      <w:snapToGrid/>
      <w:szCs w:val="24"/>
    </w:rPr>
  </w:style>
  <w:style w:type="character" w:customStyle="1" w:styleId="BodyTextIndent3Char">
    <w:name w:val="Body Text Indent 3 Char"/>
    <w:basedOn w:val="DefaultParagraphFont"/>
    <w:link w:val="BodyTextIndent3"/>
    <w:rsid w:val="003631D6"/>
    <w:rPr>
      <w:sz w:val="24"/>
      <w:szCs w:val="24"/>
    </w:rPr>
  </w:style>
  <w:style w:type="table" w:styleId="TableGrid">
    <w:name w:val="Table Grid"/>
    <w:basedOn w:val="TableNormal"/>
    <w:rsid w:val="003631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3631D6"/>
    <w:pPr>
      <w:spacing w:after="120" w:line="480" w:lineRule="auto"/>
    </w:pPr>
    <w:rPr>
      <w:snapToGrid/>
      <w:szCs w:val="24"/>
    </w:rPr>
  </w:style>
  <w:style w:type="character" w:customStyle="1" w:styleId="BodyText2Char">
    <w:name w:val="Body Text 2 Char"/>
    <w:basedOn w:val="DefaultParagraphFont"/>
    <w:link w:val="BodyText2"/>
    <w:rsid w:val="003631D6"/>
    <w:rPr>
      <w:sz w:val="24"/>
      <w:szCs w:val="24"/>
    </w:rPr>
  </w:style>
  <w:style w:type="paragraph" w:styleId="BalloonText">
    <w:name w:val="Balloon Text"/>
    <w:basedOn w:val="Normal"/>
    <w:link w:val="BalloonTextChar"/>
    <w:rsid w:val="003631D6"/>
    <w:rPr>
      <w:rFonts w:ascii="Tahoma" w:hAnsi="Tahoma" w:cs="Tahoma"/>
      <w:sz w:val="16"/>
      <w:szCs w:val="16"/>
    </w:rPr>
  </w:style>
  <w:style w:type="character" w:customStyle="1" w:styleId="BalloonTextChar">
    <w:name w:val="Balloon Text Char"/>
    <w:basedOn w:val="DefaultParagraphFont"/>
    <w:link w:val="BalloonText"/>
    <w:rsid w:val="003631D6"/>
    <w:rPr>
      <w:rFonts w:ascii="Tahoma" w:hAnsi="Tahoma" w:cs="Tahoma"/>
      <w:snapToGrid w:val="0"/>
      <w:sz w:val="16"/>
      <w:szCs w:val="16"/>
    </w:rPr>
  </w:style>
  <w:style w:type="character" w:styleId="CommentReference">
    <w:name w:val="annotation reference"/>
    <w:uiPriority w:val="99"/>
    <w:rsid w:val="003631D6"/>
    <w:rPr>
      <w:sz w:val="16"/>
      <w:szCs w:val="16"/>
    </w:rPr>
  </w:style>
  <w:style w:type="paragraph" w:styleId="CommentText">
    <w:name w:val="annotation text"/>
    <w:basedOn w:val="Normal"/>
    <w:link w:val="CommentTextChar"/>
    <w:uiPriority w:val="99"/>
    <w:rsid w:val="003631D6"/>
    <w:rPr>
      <w:sz w:val="20"/>
    </w:rPr>
  </w:style>
  <w:style w:type="character" w:customStyle="1" w:styleId="CommentTextChar">
    <w:name w:val="Comment Text Char"/>
    <w:basedOn w:val="DefaultParagraphFont"/>
    <w:link w:val="CommentText"/>
    <w:uiPriority w:val="99"/>
    <w:rsid w:val="003631D6"/>
    <w:rPr>
      <w:snapToGrid w:val="0"/>
    </w:rPr>
  </w:style>
  <w:style w:type="paragraph" w:styleId="CommentSubject">
    <w:name w:val="annotation subject"/>
    <w:basedOn w:val="CommentText"/>
    <w:next w:val="CommentText"/>
    <w:link w:val="CommentSubjectChar"/>
    <w:rsid w:val="003631D6"/>
    <w:rPr>
      <w:b/>
      <w:bCs/>
    </w:rPr>
  </w:style>
  <w:style w:type="character" w:customStyle="1" w:styleId="CommentSubjectChar">
    <w:name w:val="Comment Subject Char"/>
    <w:basedOn w:val="CommentTextChar"/>
    <w:link w:val="CommentSubject"/>
    <w:rsid w:val="003631D6"/>
    <w:rPr>
      <w:b/>
      <w:bCs/>
      <w:snapToGrid w:val="0"/>
    </w:rPr>
  </w:style>
  <w:style w:type="character" w:customStyle="1" w:styleId="DeltaViewInsertion">
    <w:name w:val="DeltaView Insertion"/>
    <w:rsid w:val="003631D6"/>
    <w:rPr>
      <w:b/>
      <w:bCs/>
      <w:color w:val="191919"/>
      <w:spacing w:val="0"/>
      <w:u w:val="double"/>
    </w:rPr>
  </w:style>
  <w:style w:type="character" w:customStyle="1" w:styleId="DeltaViewDeletion">
    <w:name w:val="DeltaView Deletion"/>
    <w:rsid w:val="003631D6"/>
    <w:rPr>
      <w:strike/>
      <w:color w:val="333333"/>
      <w:spacing w:val="0"/>
    </w:rPr>
  </w:style>
  <w:style w:type="character" w:styleId="Hyperlink">
    <w:name w:val="Hyperlink"/>
    <w:uiPriority w:val="99"/>
    <w:rsid w:val="003631D6"/>
    <w:rPr>
      <w:color w:val="0000FF"/>
      <w:u w:val="single"/>
    </w:rPr>
  </w:style>
  <w:style w:type="paragraph" w:styleId="EndnoteText">
    <w:name w:val="endnote text"/>
    <w:basedOn w:val="Normal"/>
    <w:link w:val="EndnoteTextChar"/>
    <w:rsid w:val="003631D6"/>
    <w:rPr>
      <w:sz w:val="20"/>
    </w:rPr>
  </w:style>
  <w:style w:type="character" w:customStyle="1" w:styleId="EndnoteTextChar">
    <w:name w:val="Endnote Text Char"/>
    <w:basedOn w:val="DefaultParagraphFont"/>
    <w:link w:val="EndnoteText"/>
    <w:rsid w:val="003631D6"/>
    <w:rPr>
      <w:snapToGrid w:val="0"/>
    </w:rPr>
  </w:style>
  <w:style w:type="character" w:styleId="EndnoteReference">
    <w:name w:val="endnote reference"/>
    <w:rsid w:val="003631D6"/>
    <w:rPr>
      <w:vertAlign w:val="superscript"/>
    </w:rPr>
  </w:style>
  <w:style w:type="paragraph" w:customStyle="1" w:styleId="FootnoteTextMore">
    <w:name w:val="Footnote TextMore"/>
    <w:basedOn w:val="FootnoteText"/>
    <w:rsid w:val="003631D6"/>
    <w:rPr>
      <w:i/>
    </w:rPr>
  </w:style>
  <w:style w:type="paragraph" w:customStyle="1" w:styleId="Heading10">
    <w:name w:val="Heading 10"/>
    <w:basedOn w:val="BodyTextFirstIndent"/>
    <w:rsid w:val="003631D6"/>
    <w:pPr>
      <w:numPr>
        <w:numId w:val="14"/>
      </w:numPr>
      <w:spacing w:after="240" w:line="360" w:lineRule="auto"/>
      <w:jc w:val="both"/>
    </w:pPr>
    <w:rPr>
      <w:snapToGrid/>
      <w:szCs w:val="24"/>
    </w:rPr>
  </w:style>
  <w:style w:type="paragraph" w:customStyle="1" w:styleId="Filepath">
    <w:name w:val="File path"/>
    <w:basedOn w:val="Normal"/>
    <w:rsid w:val="00941BDD"/>
    <w:pPr>
      <w:spacing w:before="720"/>
      <w:jc w:val="both"/>
    </w:pPr>
    <w:rPr>
      <w:snapToGrid/>
      <w:sz w:val="16"/>
    </w:rPr>
  </w:style>
  <w:style w:type="character" w:customStyle="1" w:styleId="FootnoteTextChar">
    <w:name w:val="Footnote Text Char"/>
    <w:basedOn w:val="DefaultParagraphFont"/>
    <w:link w:val="FootnoteText"/>
    <w:uiPriority w:val="99"/>
    <w:semiHidden/>
    <w:rsid w:val="00DB41E1"/>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79265">
      <w:bodyDiv w:val="1"/>
      <w:marLeft w:val="0"/>
      <w:marRight w:val="0"/>
      <w:marTop w:val="0"/>
      <w:marBottom w:val="0"/>
      <w:divBdr>
        <w:top w:val="none" w:sz="0" w:space="0" w:color="auto"/>
        <w:left w:val="none" w:sz="0" w:space="0" w:color="auto"/>
        <w:bottom w:val="none" w:sz="0" w:space="0" w:color="auto"/>
        <w:right w:val="none" w:sz="0" w:space="0" w:color="auto"/>
      </w:divBdr>
    </w:div>
    <w:div w:id="1013266439">
      <w:bodyDiv w:val="1"/>
      <w:marLeft w:val="0"/>
      <w:marRight w:val="0"/>
      <w:marTop w:val="0"/>
      <w:marBottom w:val="0"/>
      <w:divBdr>
        <w:top w:val="none" w:sz="0" w:space="0" w:color="auto"/>
        <w:left w:val="none" w:sz="0" w:space="0" w:color="auto"/>
        <w:bottom w:val="none" w:sz="0" w:space="0" w:color="auto"/>
        <w:right w:val="none" w:sz="0" w:space="0" w:color="auto"/>
      </w:divBdr>
    </w:div>
    <w:div w:id="148192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5751166A963B04AAB35642A20B16EAA" ma:contentTypeVersion="0" ma:contentTypeDescription="Create a new document." ma:contentTypeScope="" ma:versionID="d054e2111abcfbb4dc295e96cc76b31a">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29DCEA-FCAB-4470-BCF7-AEB823EB86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5F92217-232A-4116-AD7E-DFD72E5B5A55}">
  <ds:schemaRefs>
    <ds:schemaRef ds:uri="http://schemas.microsoft.com/sharepoint/v3/contenttype/forms"/>
  </ds:schemaRefs>
</ds:datastoreItem>
</file>

<file path=customXml/itemProps3.xml><?xml version="1.0" encoding="utf-8"?>
<ds:datastoreItem xmlns:ds="http://schemas.openxmlformats.org/officeDocument/2006/customXml" ds:itemID="{EB25C4C3-7DEC-4455-B6C5-746675800FC4}">
  <ds:schemaRefs>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www.w3.org/XML/1998/namespace"/>
  </ds:schemaRefs>
</ds:datastoreItem>
</file>

<file path=customXml/itemProps4.xml><?xml version="1.0" encoding="utf-8"?>
<ds:datastoreItem xmlns:ds="http://schemas.openxmlformats.org/officeDocument/2006/customXml" ds:itemID="{360BB839-ACE0-4500-8A4B-CC62B7CFA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89</Pages>
  <Words>31719</Words>
  <Characters>173917</Characters>
  <Application>Microsoft Office Word</Application>
  <DocSecurity>0</DocSecurity>
  <Lines>1449</Lines>
  <Paragraphs>410</Paragraphs>
  <ScaleCrop>false</ScaleCrop>
  <HeadingPairs>
    <vt:vector size="2" baseType="variant">
      <vt:variant>
        <vt:lpstr>Title</vt:lpstr>
      </vt:variant>
      <vt:variant>
        <vt:i4>1</vt:i4>
      </vt:variant>
    </vt:vector>
  </HeadingPairs>
  <TitlesOfParts>
    <vt:vector size="1" baseType="lpstr">
      <vt:lpstr>PUC DOCKET NO</vt:lpstr>
    </vt:vector>
  </TitlesOfParts>
  <Company>Public Utility Commission TX</Company>
  <LinksUpToDate>false</LinksUpToDate>
  <CharactersWithSpaces>205226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PUC DOCKET NO</dc:title>
  <dc:creator>Shockey, Kathy</dc:creator>
  <cp:lastModifiedBy>s254353</cp:lastModifiedBy>
  <cp:revision>4</cp:revision>
  <cp:lastPrinted>2019-03-06T16:26:00Z</cp:lastPrinted>
  <dcterms:created xsi:type="dcterms:W3CDTF">2019-03-06T21:34:00Z</dcterms:created>
  <dcterms:modified xsi:type="dcterms:W3CDTF">2019-03-06T21:59:00Z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0x010100A5751166A963B04AAB35642A20B16EAA</vt:lpwstr>
  </property>
</Properties>
</file>